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ACE7" w14:textId="6B25836B" w:rsidR="00F34FE0" w:rsidRPr="0059526F" w:rsidRDefault="00F34FE0" w:rsidP="0059526F">
      <w:pPr>
        <w:pStyle w:val="NormaleWeb"/>
        <w:spacing w:before="0" w:beforeAutospacing="0" w:after="0" w:line="360" w:lineRule="auto"/>
        <w:jc w:val="center"/>
        <w:rPr>
          <w:rFonts w:ascii="Garamond" w:hAnsi="Garamond"/>
          <w:i/>
          <w:iCs/>
        </w:rPr>
      </w:pPr>
      <w:r w:rsidRPr="0059526F">
        <w:rPr>
          <w:rFonts w:ascii="Garamond" w:hAnsi="Garamond"/>
          <w:i/>
          <w:iCs/>
        </w:rPr>
        <w:t>INTESTAZIONE CON RECAPITI PROFESSIONISTA DELEGATO</w:t>
      </w:r>
    </w:p>
    <w:p w14:paraId="099327B5" w14:textId="77777777" w:rsidR="00F34FE0" w:rsidRPr="0059526F"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p>
    <w:p w14:paraId="68F34DC3" w14:textId="2E854A8B"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R.G.ES.IMM. </w:t>
      </w:r>
      <w:r w:rsidRPr="0059526F">
        <w:rPr>
          <w:rFonts w:ascii="Garamond" w:eastAsia="Times New Roman" w:hAnsi="Garamond" w:cs="Times New Roman"/>
          <w:i/>
          <w:iCs/>
          <w:kern w:val="0"/>
          <w:sz w:val="24"/>
          <w:szCs w:val="24"/>
          <w:lang w:eastAsia="it-IT"/>
          <w14:ligatures w14:val="none"/>
        </w:rPr>
        <w:t>N.</w:t>
      </w:r>
      <w:r w:rsidR="00046EC3"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/ANNO</w:t>
      </w:r>
    </w:p>
    <w:p w14:paraId="33D34EAD"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TRIBUNALE DI GORIZIA</w:t>
      </w:r>
    </w:p>
    <w:p w14:paraId="4C7E048F"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AVVISO DI VENDITA</w:t>
      </w:r>
    </w:p>
    <w:p w14:paraId="22C5D245" w14:textId="0941D98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professionista delegato avv. </w:t>
      </w:r>
      <w:r w:rsidR="00046EC3"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dott. </w:t>
      </w:r>
      <w:r w:rsidR="00046EC3"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in forza di </w:t>
      </w:r>
      <w:r w:rsidRPr="0059526F">
        <w:rPr>
          <w:rFonts w:ascii="Garamond" w:eastAsia="Times New Roman" w:hAnsi="Garamond" w:cs="Times New Roman"/>
          <w:kern w:val="0"/>
          <w:sz w:val="24"/>
          <w:szCs w:val="24"/>
          <w:lang w:eastAsia="it-IT"/>
          <w14:ligatures w14:val="none"/>
        </w:rPr>
        <w:t>Ordinanza di vendita delegata del Giudice dell'Esecuzione del Tribunale di Gorizia, Dott.</w:t>
      </w:r>
      <w:r w:rsidR="00046EC3"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di data </w:t>
      </w:r>
      <w:r w:rsidR="00046EC3"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xml:space="preserve">, nella procedura di Esecuzione Immobiliare R.G. </w:t>
      </w:r>
      <w:r w:rsidRPr="0059526F">
        <w:rPr>
          <w:rFonts w:ascii="Garamond" w:eastAsia="Times New Roman" w:hAnsi="Garamond" w:cs="Times New Roman"/>
          <w:i/>
          <w:iCs/>
          <w:kern w:val="0"/>
          <w:sz w:val="24"/>
          <w:szCs w:val="24"/>
          <w:lang w:eastAsia="it-IT"/>
          <w14:ligatures w14:val="none"/>
        </w:rPr>
        <w:t>n. / Anno</w:t>
      </w:r>
      <w:r w:rsidRPr="0059526F">
        <w:rPr>
          <w:rFonts w:ascii="Garamond" w:eastAsia="Times New Roman" w:hAnsi="Garamond" w:cs="Times New Roman"/>
          <w:kern w:val="0"/>
          <w:sz w:val="24"/>
          <w:szCs w:val="24"/>
          <w:lang w:eastAsia="it-IT"/>
          <w14:ligatures w14:val="none"/>
        </w:rPr>
        <w:t>, ai sensi dell’art. 591 bis c.p.c.</w:t>
      </w:r>
    </w:p>
    <w:p w14:paraId="1A2069C0"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AVVISA</w:t>
      </w:r>
    </w:p>
    <w:p w14:paraId="6885A591" w14:textId="54097106"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che in data e luogo </w:t>
      </w:r>
      <w:r w:rsidR="0059526F" w:rsidRPr="0059526F">
        <w:rPr>
          <w:rFonts w:ascii="Garamond" w:eastAsia="Times New Roman" w:hAnsi="Garamond" w:cs="Times New Roman"/>
          <w:kern w:val="0"/>
          <w:sz w:val="24"/>
          <w:szCs w:val="24"/>
          <w:lang w:eastAsia="it-IT"/>
          <w14:ligatures w14:val="none"/>
        </w:rPr>
        <w:t>sottoindicati</w:t>
      </w:r>
      <w:r w:rsidRPr="0059526F">
        <w:rPr>
          <w:rFonts w:ascii="Garamond" w:eastAsia="Times New Roman" w:hAnsi="Garamond" w:cs="Times New Roman"/>
          <w:kern w:val="0"/>
          <w:sz w:val="24"/>
          <w:szCs w:val="24"/>
          <w:lang w:eastAsia="it-IT"/>
          <w14:ligatures w14:val="none"/>
        </w:rPr>
        <w:t xml:space="preserve"> si terrà</w:t>
      </w:r>
    </w:p>
    <w:p w14:paraId="6A2D9C11"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VENDITA SENZA INCANTO</w:t>
      </w:r>
    </w:p>
    <w:p w14:paraId="72C923B2"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con modalità</w:t>
      </w:r>
    </w:p>
    <w:p w14:paraId="296B569B"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TELEMATICA SINCRONA MISTA</w:t>
      </w:r>
    </w:p>
    <w:p w14:paraId="15E6445D" w14:textId="3476A15C"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mediante la piattaforma </w:t>
      </w:r>
      <w:hyperlink r:id="rId7" w:history="1">
        <w:r w:rsidRPr="0059526F">
          <w:rPr>
            <w:rFonts w:ascii="Garamond" w:eastAsia="Times New Roman" w:hAnsi="Garamond" w:cs="Times New Roman"/>
            <w:color w:val="0000FF"/>
            <w:kern w:val="0"/>
            <w:sz w:val="24"/>
            <w:szCs w:val="24"/>
            <w:u w:val="single"/>
            <w:lang w:eastAsia="it-IT"/>
            <w14:ligatures w14:val="none"/>
          </w:rPr>
          <w:t>www.spazioaste.it</w:t>
        </w:r>
      </w:hyperlink>
      <w:r w:rsidRPr="0059526F">
        <w:rPr>
          <w:rFonts w:ascii="Garamond" w:eastAsia="Times New Roman" w:hAnsi="Garamond" w:cs="Times New Roman"/>
          <w:kern w:val="0"/>
          <w:sz w:val="24"/>
          <w:szCs w:val="24"/>
          <w:lang w:eastAsia="it-IT"/>
          <w14:ligatures w14:val="none"/>
        </w:rPr>
        <w:t xml:space="preserve"> del Gestore Astalegale.net S.p.a. </w:t>
      </w:r>
      <w:r w:rsidR="00F721BE" w:rsidRPr="0059526F">
        <w:rPr>
          <w:rFonts w:ascii="Garamond" w:eastAsia="Times New Roman" w:hAnsi="Garamond" w:cs="Times New Roman"/>
          <w:i/>
          <w:iCs/>
          <w:kern w:val="0"/>
          <w:sz w:val="24"/>
          <w:szCs w:val="24"/>
          <w:lang w:eastAsia="it-IT"/>
          <w14:ligatures w14:val="none"/>
        </w:rPr>
        <w:t>oppure</w:t>
      </w:r>
      <w:r w:rsidRPr="0059526F">
        <w:rPr>
          <w:rFonts w:ascii="Garamond" w:eastAsia="Times New Roman" w:hAnsi="Garamond" w:cs="Times New Roman"/>
          <w:kern w:val="0"/>
          <w:sz w:val="24"/>
          <w:szCs w:val="24"/>
          <w:lang w:eastAsia="it-IT"/>
          <w14:ligatures w14:val="none"/>
        </w:rPr>
        <w:t xml:space="preserve"> </w:t>
      </w:r>
      <w:hyperlink r:id="rId8" w:history="1">
        <w:r w:rsidRPr="0059526F">
          <w:rPr>
            <w:rFonts w:ascii="Garamond" w:eastAsia="Times New Roman" w:hAnsi="Garamond" w:cs="Times New Roman"/>
            <w:color w:val="0000FF"/>
            <w:kern w:val="0"/>
            <w:sz w:val="24"/>
            <w:szCs w:val="24"/>
            <w:u w:val="single"/>
            <w:lang w:eastAsia="it-IT"/>
            <w14:ligatures w14:val="none"/>
          </w:rPr>
          <w:t>www.astetelematiche.it</w:t>
        </w:r>
      </w:hyperlink>
      <w:r w:rsidRPr="0059526F">
        <w:rPr>
          <w:rFonts w:ascii="Garamond" w:eastAsia="Times New Roman" w:hAnsi="Garamond" w:cs="Times New Roman"/>
          <w:kern w:val="0"/>
          <w:sz w:val="24"/>
          <w:szCs w:val="24"/>
          <w:lang w:eastAsia="it-IT"/>
          <w14:ligatures w14:val="none"/>
        </w:rPr>
        <w:t xml:space="preserve"> del Gestore Astegiudiziarie Inlinea S.p.a.</w:t>
      </w:r>
      <w:r w:rsidR="00F721BE" w:rsidRPr="0059526F">
        <w:rPr>
          <w:rFonts w:ascii="Garamond" w:eastAsia="Times New Roman" w:hAnsi="Garamond" w:cs="Times New Roman"/>
          <w:kern w:val="0"/>
          <w:sz w:val="24"/>
          <w:szCs w:val="24"/>
          <w:lang w:eastAsia="it-IT"/>
          <w14:ligatures w14:val="none"/>
        </w:rPr>
        <w:t xml:space="preserve"> </w:t>
      </w:r>
      <w:r w:rsidR="00F721BE" w:rsidRPr="0059526F">
        <w:rPr>
          <w:rFonts w:ascii="Garamond" w:eastAsia="Times New Roman" w:hAnsi="Garamond" w:cs="Times New Roman"/>
          <w:i/>
          <w:iCs/>
          <w:kern w:val="0"/>
          <w:sz w:val="24"/>
          <w:szCs w:val="24"/>
          <w:lang w:eastAsia="it-IT"/>
          <w14:ligatures w14:val="none"/>
        </w:rPr>
        <w:t>(a seconda di quanto indicato in ordinanza di delega)</w:t>
      </w:r>
      <w:r w:rsidRPr="0059526F">
        <w:rPr>
          <w:rFonts w:ascii="Garamond" w:eastAsia="Times New Roman" w:hAnsi="Garamond" w:cs="Times New Roman"/>
          <w:kern w:val="0"/>
          <w:sz w:val="24"/>
          <w:szCs w:val="24"/>
          <w:lang w:eastAsia="it-IT"/>
          <w14:ligatures w14:val="none"/>
        </w:rPr>
        <w:t>, dei seguenti beni immobili.</w:t>
      </w:r>
    </w:p>
    <w:p w14:paraId="3DD96546" w14:textId="3E910D1A"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LOTTO N.</w:t>
      </w:r>
      <w:r w:rsidR="00DA1A36">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b/>
          <w:bCs/>
          <w:i/>
          <w:iCs/>
          <w:kern w:val="0"/>
          <w:sz w:val="24"/>
          <w:szCs w:val="24"/>
          <w:lang w:eastAsia="it-IT"/>
          <w14:ligatures w14:val="none"/>
        </w:rPr>
        <w:t>1,2 / UNICO</w:t>
      </w:r>
    </w:p>
    <w:p w14:paraId="580EFED4" w14:textId="315457F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Descrizione: </w:t>
      </w:r>
      <w:r w:rsidRPr="0059526F">
        <w:rPr>
          <w:rFonts w:ascii="Garamond" w:eastAsia="Times New Roman" w:hAnsi="Garamond" w:cs="Times New Roman"/>
          <w:i/>
          <w:iCs/>
          <w:kern w:val="0"/>
          <w:sz w:val="24"/>
          <w:szCs w:val="24"/>
          <w:lang w:eastAsia="it-IT"/>
          <w14:ligatures w14:val="none"/>
        </w:rPr>
        <w:t xml:space="preserve">es. Appartamento al piano </w:t>
      </w:r>
      <w:r w:rsidR="0059526F">
        <w:rPr>
          <w:rFonts w:ascii="Garamond" w:eastAsia="Times New Roman" w:hAnsi="Garamond" w:cs="Times New Roman"/>
          <w:i/>
          <w:iCs/>
          <w:kern w:val="0"/>
          <w:sz w:val="24"/>
          <w:szCs w:val="24"/>
          <w:lang w:eastAsia="it-IT"/>
          <w14:ligatures w14:val="none"/>
        </w:rPr>
        <w:t>…</w:t>
      </w:r>
      <w:r w:rsidRPr="0059526F">
        <w:rPr>
          <w:rFonts w:ascii="Garamond" w:eastAsia="Times New Roman" w:hAnsi="Garamond" w:cs="Times New Roman"/>
          <w:i/>
          <w:iCs/>
          <w:kern w:val="0"/>
          <w:sz w:val="24"/>
          <w:szCs w:val="24"/>
          <w:lang w:eastAsia="it-IT"/>
          <w14:ligatures w14:val="none"/>
        </w:rPr>
        <w:t>, con cantina e posto auto al piano , sito a ( ), Via n. .</w:t>
      </w:r>
    </w:p>
    <w:p w14:paraId="5252E108"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CONDIZIONI DI VENDITA</w:t>
      </w:r>
    </w:p>
    <w:p w14:paraId="508FDDD3"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Prezzo base d'asta</w:t>
      </w:r>
      <w:r w:rsidRPr="0059526F">
        <w:rPr>
          <w:rFonts w:ascii="Garamond" w:eastAsia="Times New Roman" w:hAnsi="Garamond" w:cs="Times New Roman"/>
          <w:kern w:val="0"/>
          <w:sz w:val="24"/>
          <w:szCs w:val="24"/>
          <w:lang w:eastAsia="it-IT"/>
          <w14:ligatures w14:val="none"/>
        </w:rPr>
        <w:t xml:space="preserve"> (</w:t>
      </w:r>
      <w:r w:rsidRPr="00DA1A36">
        <w:rPr>
          <w:rFonts w:ascii="Garamond" w:eastAsia="Times New Roman" w:hAnsi="Garamond" w:cs="Times New Roman"/>
          <w:i/>
          <w:iCs/>
          <w:kern w:val="0"/>
          <w:sz w:val="24"/>
          <w:szCs w:val="24"/>
          <w:lang w:eastAsia="it-IT"/>
          <w14:ligatures w14:val="none"/>
        </w:rPr>
        <w:t>da stima / ridotto</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w:t>
      </w:r>
    </w:p>
    <w:p w14:paraId="3A3DD366" w14:textId="05A3C32D"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Offerta minima per la partecipazione all'asta (-25%)</w:t>
      </w:r>
      <w:r w:rsidR="00046EC3"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(art. 571 c.2 c.p.c.): € </w:t>
      </w:r>
    </w:p>
    <w:p w14:paraId="70E3D189"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Rilancio minimo in caso di gara:</w:t>
      </w:r>
      <w:r w:rsidRPr="0059526F">
        <w:rPr>
          <w:rFonts w:ascii="Garamond" w:eastAsia="Times New Roman" w:hAnsi="Garamond" w:cs="Times New Roman"/>
          <w:kern w:val="0"/>
          <w:sz w:val="24"/>
          <w:szCs w:val="24"/>
          <w:lang w:eastAsia="it-IT"/>
          <w14:ligatures w14:val="none"/>
        </w:rPr>
        <w:t xml:space="preserve"> € </w:t>
      </w:r>
    </w:p>
    <w:p w14:paraId="6EEA5AAB" w14:textId="563859B3"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(importo minimo del rilancio in caso di gara</w:t>
      </w:r>
      <w:r w:rsidR="00046EC3"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in base a</w:t>
      </w:r>
      <w:r w:rsidR="00046EC3" w:rsidRPr="0059526F">
        <w:rPr>
          <w:rFonts w:ascii="Garamond" w:eastAsia="Times New Roman" w:hAnsi="Garamond" w:cs="Times New Roman"/>
          <w:i/>
          <w:iCs/>
          <w:kern w:val="0"/>
          <w:sz w:val="24"/>
          <w:szCs w:val="24"/>
          <w:lang w:eastAsia="it-IT"/>
          <w14:ligatures w14:val="none"/>
        </w:rPr>
        <w:t>i seguenti</w:t>
      </w:r>
      <w:r w:rsidRPr="0059526F">
        <w:rPr>
          <w:rFonts w:ascii="Garamond" w:eastAsia="Times New Roman" w:hAnsi="Garamond" w:cs="Times New Roman"/>
          <w:i/>
          <w:iCs/>
          <w:kern w:val="0"/>
          <w:sz w:val="24"/>
          <w:szCs w:val="24"/>
          <w:lang w:eastAsia="it-IT"/>
          <w14:ligatures w14:val="none"/>
        </w:rPr>
        <w:t xml:space="preserve"> scaglioni prefissati</w:t>
      </w:r>
      <w:r w:rsidR="00F721BE" w:rsidRPr="0059526F">
        <w:rPr>
          <w:rFonts w:ascii="Garamond" w:eastAsia="Times New Roman" w:hAnsi="Garamond" w:cs="Times New Roman"/>
          <w:i/>
          <w:iCs/>
          <w:kern w:val="0"/>
          <w:sz w:val="24"/>
          <w:szCs w:val="24"/>
          <w:lang w:eastAsia="it-IT"/>
          <w14:ligatures w14:val="none"/>
        </w:rPr>
        <w:t>:</w:t>
      </w:r>
      <w:r w:rsidRPr="0059526F">
        <w:rPr>
          <w:rFonts w:ascii="Garamond" w:eastAsia="Times New Roman" w:hAnsi="Garamond" w:cs="Times New Roman"/>
          <w:i/>
          <w:iCs/>
          <w:kern w:val="0"/>
          <w:sz w:val="24"/>
          <w:szCs w:val="24"/>
          <w:lang w:eastAsia="it-IT"/>
          <w14:ligatures w14:val="none"/>
        </w:rPr>
        <w:t xml:space="preserve"> 500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fino a 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1.000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&gt;</w:t>
      </w:r>
      <w:r w:rsidR="00B358E5"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fino a </w:t>
      </w:r>
      <w:r w:rsidR="004E40DA" w:rsidRPr="0059526F">
        <w:rPr>
          <w:rFonts w:ascii="Garamond" w:eastAsia="Times New Roman" w:hAnsi="Garamond" w:cs="Times New Roman"/>
          <w:i/>
          <w:iCs/>
          <w:kern w:val="0"/>
          <w:sz w:val="24"/>
          <w:szCs w:val="24"/>
          <w:lang w:eastAsia="it-IT"/>
          <w14:ligatures w14:val="none"/>
        </w:rPr>
        <w:t>100.000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2.000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&gt; </w:t>
      </w:r>
      <w:r w:rsidR="004E40DA" w:rsidRPr="0059526F">
        <w:rPr>
          <w:rFonts w:ascii="Garamond" w:eastAsia="Times New Roman" w:hAnsi="Garamond" w:cs="Times New Roman"/>
          <w:i/>
          <w:iCs/>
          <w:kern w:val="0"/>
          <w:sz w:val="24"/>
          <w:szCs w:val="24"/>
          <w:lang w:eastAsia="it-IT"/>
          <w14:ligatures w14:val="none"/>
        </w:rPr>
        <w:t>100.000</w:t>
      </w:r>
      <w:r w:rsidR="00F721BE" w:rsidRPr="0059526F">
        <w:rPr>
          <w:rFonts w:ascii="Garamond" w:eastAsia="Times New Roman" w:hAnsi="Garamond" w:cs="Times New Roman"/>
          <w:i/>
          <w:iCs/>
          <w:kern w:val="0"/>
          <w:sz w:val="24"/>
          <w:szCs w:val="24"/>
          <w:lang w:eastAsia="it-IT"/>
          <w14:ligatures w14:val="none"/>
        </w:rPr>
        <w:t xml:space="preserve"> €</w:t>
      </w:r>
      <w:r w:rsidR="004E40DA"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fino a </w:t>
      </w:r>
      <w:r w:rsidR="004E40DA" w:rsidRPr="0059526F">
        <w:rPr>
          <w:rFonts w:ascii="Garamond" w:eastAsia="Times New Roman" w:hAnsi="Garamond" w:cs="Times New Roman"/>
          <w:i/>
          <w:iCs/>
          <w:kern w:val="0"/>
          <w:sz w:val="24"/>
          <w:szCs w:val="24"/>
          <w:lang w:eastAsia="it-IT"/>
          <w14:ligatures w14:val="none"/>
        </w:rPr>
        <w:t>150.000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3.000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&gt;</w:t>
      </w:r>
      <w:r w:rsidR="00F721BE" w:rsidRPr="0059526F">
        <w:rPr>
          <w:rFonts w:ascii="Garamond" w:eastAsia="Times New Roman" w:hAnsi="Garamond" w:cs="Times New Roman"/>
          <w:i/>
          <w:iCs/>
          <w:kern w:val="0"/>
          <w:sz w:val="24"/>
          <w:szCs w:val="24"/>
          <w:lang w:eastAsia="it-IT"/>
          <w14:ligatures w14:val="none"/>
        </w:rPr>
        <w:t xml:space="preserve"> </w:t>
      </w:r>
      <w:r w:rsidR="005F067B" w:rsidRPr="0059526F">
        <w:rPr>
          <w:rFonts w:ascii="Garamond" w:eastAsia="Times New Roman" w:hAnsi="Garamond" w:cs="Times New Roman"/>
          <w:i/>
          <w:iCs/>
          <w:kern w:val="0"/>
          <w:sz w:val="24"/>
          <w:szCs w:val="24"/>
          <w:lang w:eastAsia="it-IT"/>
          <w14:ligatures w14:val="none"/>
        </w:rPr>
        <w:t xml:space="preserve">150.000 </w:t>
      </w:r>
      <w:r w:rsidRPr="0059526F">
        <w:rPr>
          <w:rFonts w:ascii="Garamond" w:eastAsia="Times New Roman" w:hAnsi="Garamond" w:cs="Times New Roman"/>
          <w:i/>
          <w:iCs/>
          <w:kern w:val="0"/>
          <w:sz w:val="24"/>
          <w:szCs w:val="24"/>
          <w:lang w:eastAsia="it-IT"/>
          <w14:ligatures w14:val="none"/>
        </w:rPr>
        <w:t xml:space="preserve">fino a </w:t>
      </w:r>
      <w:r w:rsidR="005F067B" w:rsidRPr="0059526F">
        <w:rPr>
          <w:rFonts w:ascii="Garamond" w:eastAsia="Times New Roman" w:hAnsi="Garamond" w:cs="Times New Roman"/>
          <w:i/>
          <w:iCs/>
          <w:kern w:val="0"/>
          <w:sz w:val="24"/>
          <w:szCs w:val="24"/>
          <w:lang w:eastAsia="it-IT"/>
          <w14:ligatures w14:val="none"/>
        </w:rPr>
        <w:t>250.000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5.000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&gt; </w:t>
      </w:r>
      <w:r w:rsidR="005F067B" w:rsidRPr="0059526F">
        <w:rPr>
          <w:rFonts w:ascii="Garamond" w:eastAsia="Times New Roman" w:hAnsi="Garamond" w:cs="Times New Roman"/>
          <w:i/>
          <w:iCs/>
          <w:kern w:val="0"/>
          <w:sz w:val="24"/>
          <w:szCs w:val="24"/>
          <w:lang w:eastAsia="it-IT"/>
          <w14:ligatures w14:val="none"/>
        </w:rPr>
        <w:t>250.000</w:t>
      </w:r>
      <w:r w:rsidR="00B358E5" w:rsidRPr="0059526F">
        <w:rPr>
          <w:rFonts w:ascii="Garamond" w:eastAsia="Times New Roman" w:hAnsi="Garamond" w:cs="Times New Roman"/>
          <w:i/>
          <w:iCs/>
          <w:kern w:val="0"/>
          <w:sz w:val="24"/>
          <w:szCs w:val="24"/>
          <w:lang w:eastAsia="it-IT"/>
          <w14:ligatures w14:val="none"/>
        </w:rPr>
        <w:t xml:space="preserve"> </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fino a 500.000</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 xml:space="preserve">; 7.000 </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&gt; 500.000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w:t>
      </w:r>
    </w:p>
    <w:p w14:paraId="2FA5538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Tempo massimo di rilancio in caso di gara: </w:t>
      </w:r>
      <w:r w:rsidRPr="0059526F">
        <w:rPr>
          <w:rFonts w:ascii="Garamond" w:eastAsia="Times New Roman" w:hAnsi="Garamond" w:cs="Times New Roman"/>
          <w:kern w:val="0"/>
          <w:sz w:val="24"/>
          <w:szCs w:val="24"/>
          <w:lang w:eastAsia="it-IT"/>
          <w14:ligatures w14:val="none"/>
        </w:rPr>
        <w:t>(</w:t>
      </w:r>
      <w:r w:rsidRPr="00A91C20">
        <w:rPr>
          <w:rFonts w:ascii="Garamond" w:eastAsia="Times New Roman" w:hAnsi="Garamond" w:cs="Times New Roman"/>
          <w:i/>
          <w:iCs/>
          <w:kern w:val="0"/>
          <w:sz w:val="24"/>
          <w:szCs w:val="24"/>
          <w:lang w:eastAsia="it-IT"/>
          <w14:ligatures w14:val="none"/>
        </w:rPr>
        <w:t>prefissato, di prassi in 1 minuto</w:t>
      </w:r>
      <w:r w:rsidRPr="0059526F">
        <w:rPr>
          <w:rFonts w:ascii="Garamond" w:eastAsia="Times New Roman" w:hAnsi="Garamond" w:cs="Times New Roman"/>
          <w:kern w:val="0"/>
          <w:sz w:val="24"/>
          <w:szCs w:val="24"/>
          <w:lang w:eastAsia="it-IT"/>
          <w14:ligatures w14:val="none"/>
        </w:rPr>
        <w:t>)</w:t>
      </w:r>
    </w:p>
    <w:p w14:paraId="748209D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Termine di presentazione offerte </w:t>
      </w:r>
      <w:r w:rsidRPr="0059526F">
        <w:rPr>
          <w:rFonts w:ascii="Garamond" w:eastAsia="Times New Roman" w:hAnsi="Garamond" w:cs="Times New Roman"/>
          <w:kern w:val="0"/>
          <w:sz w:val="24"/>
          <w:szCs w:val="24"/>
          <w:lang w:eastAsia="it-IT"/>
          <w14:ligatures w14:val="none"/>
        </w:rPr>
        <w:t>(</w:t>
      </w:r>
      <w:r w:rsidRPr="00A91C20">
        <w:rPr>
          <w:rFonts w:ascii="Garamond" w:eastAsia="Times New Roman" w:hAnsi="Garamond" w:cs="Times New Roman"/>
          <w:i/>
          <w:iCs/>
          <w:kern w:val="0"/>
          <w:sz w:val="24"/>
          <w:szCs w:val="24"/>
          <w:lang w:eastAsia="it-IT"/>
          <w14:ligatures w14:val="none"/>
        </w:rPr>
        <w:t>il venerdì precedente per aste del martedì; il martedì precedente per le aste del venerdì</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ore 12.00</w:t>
      </w:r>
    </w:p>
    <w:p w14:paraId="3BBFF52A" w14:textId="5FDFAE2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Luogo di presentazione offerte: </w:t>
      </w:r>
      <w:r w:rsidRPr="0059526F">
        <w:rPr>
          <w:rFonts w:ascii="Garamond" w:eastAsia="Times New Roman" w:hAnsi="Garamond" w:cs="Times New Roman"/>
          <w:kern w:val="0"/>
          <w:sz w:val="24"/>
          <w:szCs w:val="24"/>
          <w:lang w:eastAsia="it-IT"/>
          <w14:ligatures w14:val="none"/>
        </w:rPr>
        <w:t>studio del professionista delegato avv.</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/dott.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sito a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Via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n.</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p. </w:t>
      </w:r>
      <w:r w:rsidR="00A26684" w:rsidRPr="0059526F">
        <w:rPr>
          <w:rFonts w:ascii="Garamond" w:eastAsia="Times New Roman" w:hAnsi="Garamond" w:cs="Times New Roman"/>
          <w:kern w:val="0"/>
          <w:sz w:val="24"/>
          <w:szCs w:val="24"/>
          <w:lang w:eastAsia="it-IT"/>
          <w14:ligatures w14:val="none"/>
        </w:rPr>
        <w:t>…</w:t>
      </w:r>
    </w:p>
    <w:p w14:paraId="4E2D1C81" w14:textId="232897B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Data esame offerte, gara e aggiudicazione</w:t>
      </w:r>
      <w:r w:rsidRPr="0059526F">
        <w:rPr>
          <w:rFonts w:ascii="Garamond" w:eastAsia="Times New Roman" w:hAnsi="Garamond" w:cs="Times New Roman"/>
          <w:kern w:val="0"/>
          <w:sz w:val="24"/>
          <w:szCs w:val="24"/>
          <w:lang w:eastAsia="it-IT"/>
          <w14:ligatures w14:val="none"/>
        </w:rPr>
        <w:t xml:space="preserve">: ore </w:t>
      </w:r>
      <w:r w:rsidR="00A26684" w:rsidRPr="0059526F">
        <w:rPr>
          <w:rFonts w:ascii="Garamond" w:eastAsia="Times New Roman" w:hAnsi="Garamond" w:cs="Times New Roman"/>
          <w:kern w:val="0"/>
          <w:sz w:val="24"/>
          <w:szCs w:val="24"/>
          <w:lang w:eastAsia="it-IT"/>
          <w14:ligatures w14:val="none"/>
        </w:rPr>
        <w:t>…</w:t>
      </w:r>
    </w:p>
    <w:p w14:paraId="33AB6F4F" w14:textId="00DEC5A8"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Luogo esame offerte, svolgimento gara ed aggiudicazione</w:t>
      </w:r>
      <w:r w:rsidRPr="0059526F">
        <w:rPr>
          <w:rFonts w:ascii="Garamond" w:eastAsia="Times New Roman" w:hAnsi="Garamond" w:cs="Times New Roman"/>
          <w:kern w:val="0"/>
          <w:sz w:val="24"/>
          <w:szCs w:val="24"/>
          <w:lang w:eastAsia="it-IT"/>
          <w14:ligatures w14:val="none"/>
        </w:rPr>
        <w:t>: Sala Aste Tribunale di Gorizia piano 1 stanza 37 Via Nazario Sauro n. 1 Gorizia.</w:t>
      </w:r>
    </w:p>
    <w:p w14:paraId="52D9F97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p>
    <w:p w14:paraId="0F456823" w14:textId="032465D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lastRenderedPageBreak/>
        <w:t>Consistenza:</w:t>
      </w:r>
      <w:r w:rsidRPr="0059526F">
        <w:rPr>
          <w:rFonts w:ascii="Garamond" w:eastAsia="Times New Roman" w:hAnsi="Garamond" w:cs="Times New Roman"/>
          <w:kern w:val="0"/>
          <w:sz w:val="24"/>
          <w:szCs w:val="24"/>
          <w:lang w:eastAsia="it-IT"/>
          <w14:ligatures w14:val="none"/>
        </w:rPr>
        <w:t xml:space="preserve">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es. due camere, due bagni, ecc</w:t>
      </w:r>
    </w:p>
    <w:p w14:paraId="74B8C8E0" w14:textId="3F16972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Superficie: </w:t>
      </w:r>
      <w:r w:rsid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m²</w:t>
      </w:r>
      <w:r w:rsidRPr="0059526F">
        <w:rPr>
          <w:rFonts w:ascii="Garamond" w:eastAsia="Times New Roman" w:hAnsi="Garamond" w:cs="Times New Roman"/>
          <w:b/>
          <w:bCs/>
          <w:i/>
          <w:iCs/>
          <w:kern w:val="0"/>
          <w:sz w:val="24"/>
          <w:szCs w:val="24"/>
          <w:lang w:eastAsia="it-IT"/>
          <w14:ligatures w14:val="none"/>
        </w:rPr>
        <w:t xml:space="preserve"> </w:t>
      </w:r>
    </w:p>
    <w:p w14:paraId="6FFF221F" w14:textId="6759B90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Stato di possesso: </w:t>
      </w:r>
      <w:r w:rsid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libero / occupato con / senza titolo opponibile/non opponibile (indicare il titolo). </w:t>
      </w:r>
    </w:p>
    <w:p w14:paraId="27E36A53" w14:textId="4FD57E01" w:rsidR="004623ED"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Si evidenzia:</w:t>
      </w:r>
      <w:r w:rsidR="0059526F">
        <w:rPr>
          <w:rFonts w:ascii="Garamond" w:eastAsia="Times New Roman" w:hAnsi="Garamond" w:cs="Times New Roman"/>
          <w:b/>
          <w:bCs/>
          <w:kern w:val="0"/>
          <w:sz w:val="24"/>
          <w:szCs w:val="24"/>
          <w:lang w:eastAsia="it-IT"/>
          <w14:ligatures w14:val="none"/>
        </w:rPr>
        <w:t xml:space="preserve"> …</w:t>
      </w:r>
    </w:p>
    <w:p w14:paraId="35133ACA" w14:textId="701460ED" w:rsidR="004623ED" w:rsidRPr="0059526F" w:rsidRDefault="004623ED"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 </w:t>
      </w:r>
      <w:r w:rsidR="008E3350" w:rsidRPr="0059526F">
        <w:rPr>
          <w:rFonts w:ascii="Garamond" w:eastAsia="Times New Roman" w:hAnsi="Garamond" w:cs="Times New Roman"/>
          <w:i/>
          <w:iCs/>
          <w:kern w:val="0"/>
          <w:sz w:val="24"/>
          <w:szCs w:val="24"/>
          <w:lang w:eastAsia="it-IT"/>
          <w14:ligatures w14:val="none"/>
        </w:rPr>
        <w:t>destinazione urbanistica ex art. 30 d.P.R. n. 380/2001</w:t>
      </w:r>
      <w:r w:rsidR="00A91C20">
        <w:rPr>
          <w:rFonts w:ascii="Garamond" w:eastAsia="Times New Roman" w:hAnsi="Garamond" w:cs="Times New Roman"/>
          <w:i/>
          <w:iCs/>
          <w:kern w:val="0"/>
          <w:sz w:val="24"/>
          <w:szCs w:val="24"/>
          <w:lang w:eastAsia="it-IT"/>
          <w14:ligatures w14:val="none"/>
        </w:rPr>
        <w:t>,</w:t>
      </w:r>
      <w:r w:rsidR="007446E7" w:rsidRPr="0059526F">
        <w:rPr>
          <w:rFonts w:ascii="Garamond" w:eastAsia="Times New Roman" w:hAnsi="Garamond" w:cs="Times New Roman"/>
          <w:i/>
          <w:iCs/>
          <w:kern w:val="0"/>
          <w:sz w:val="24"/>
          <w:szCs w:val="24"/>
          <w:lang w:eastAsia="it-IT"/>
          <w14:ligatures w14:val="none"/>
        </w:rPr>
        <w:t xml:space="preserve"> se necessaria</w:t>
      </w:r>
      <w:r w:rsidR="00A91C20">
        <w:rPr>
          <w:rFonts w:ascii="Garamond" w:eastAsia="Times New Roman" w:hAnsi="Garamond" w:cs="Times New Roman"/>
          <w:i/>
          <w:iCs/>
          <w:kern w:val="0"/>
          <w:sz w:val="24"/>
          <w:szCs w:val="24"/>
          <w:lang w:eastAsia="it-IT"/>
          <w14:ligatures w14:val="none"/>
        </w:rPr>
        <w:t xml:space="preserve">, </w:t>
      </w:r>
      <w:r w:rsidR="00921FDD">
        <w:rPr>
          <w:rFonts w:ascii="Garamond" w:eastAsia="Times New Roman" w:hAnsi="Garamond" w:cs="Times New Roman"/>
          <w:i/>
          <w:iCs/>
          <w:kern w:val="0"/>
          <w:sz w:val="24"/>
          <w:szCs w:val="24"/>
          <w:lang w:eastAsia="it-IT"/>
          <w14:ligatures w14:val="none"/>
        </w:rPr>
        <w:t>ai sensi de</w:t>
      </w:r>
      <w:r w:rsidR="00A91C20" w:rsidRPr="0059526F">
        <w:rPr>
          <w:rFonts w:ascii="Garamond" w:eastAsia="Times New Roman" w:hAnsi="Garamond" w:cs="Times New Roman"/>
          <w:i/>
          <w:iCs/>
          <w:kern w:val="0"/>
          <w:sz w:val="24"/>
          <w:szCs w:val="24"/>
          <w:lang w:eastAsia="it-IT"/>
          <w14:ligatures w14:val="none"/>
        </w:rPr>
        <w:t>ll’art. 173 quater disp. att. c.p.c.;</w:t>
      </w:r>
    </w:p>
    <w:p w14:paraId="2038B431" w14:textId="77777777" w:rsidR="004623ED" w:rsidRPr="0059526F" w:rsidRDefault="004623ED"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 xml:space="preserve">- </w:t>
      </w:r>
      <w:r w:rsidR="008E3350" w:rsidRPr="0059526F">
        <w:rPr>
          <w:rFonts w:ascii="Garamond" w:eastAsia="Times New Roman" w:hAnsi="Garamond" w:cs="Times New Roman"/>
          <w:i/>
          <w:iCs/>
          <w:kern w:val="0"/>
          <w:sz w:val="24"/>
          <w:szCs w:val="24"/>
          <w:lang w:eastAsia="it-IT"/>
          <w14:ligatures w14:val="none"/>
        </w:rPr>
        <w:t>notizie di cui all’art. 46 d.P.R. n. 360/2001 e art 40 l. n. 47/1985 e successive modificazioni o eventuale menzione di loro insufficienza come meglio precisato nell’art. 173 quater disp. att. c.p.c.</w:t>
      </w:r>
      <w:r w:rsidRPr="0059526F">
        <w:rPr>
          <w:rFonts w:ascii="Garamond" w:eastAsia="Times New Roman" w:hAnsi="Garamond" w:cs="Times New Roman"/>
          <w:i/>
          <w:iCs/>
          <w:kern w:val="0"/>
          <w:sz w:val="24"/>
          <w:szCs w:val="24"/>
          <w:lang w:eastAsia="it-IT"/>
          <w14:ligatures w14:val="none"/>
        </w:rPr>
        <w:t>;</w:t>
      </w:r>
    </w:p>
    <w:p w14:paraId="29CCFD11" w14:textId="60D6DBAD" w:rsidR="00F34FE0" w:rsidRPr="0059526F" w:rsidRDefault="004623ED"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w:t>
      </w:r>
      <w:r w:rsidR="008E3350" w:rsidRPr="0059526F">
        <w:rPr>
          <w:rFonts w:ascii="Garamond" w:eastAsia="Times New Roman" w:hAnsi="Garamond" w:cs="Times New Roman"/>
          <w:i/>
          <w:iCs/>
          <w:kern w:val="0"/>
          <w:sz w:val="24"/>
          <w:szCs w:val="24"/>
          <w:lang w:eastAsia="it-IT"/>
          <w14:ligatures w14:val="none"/>
        </w:rPr>
        <w:t xml:space="preserve"> </w:t>
      </w:r>
      <w:r w:rsidR="00F34FE0" w:rsidRPr="0059526F">
        <w:rPr>
          <w:rFonts w:ascii="Garamond" w:eastAsia="Times New Roman" w:hAnsi="Garamond" w:cs="Times New Roman"/>
          <w:i/>
          <w:iCs/>
          <w:kern w:val="0"/>
          <w:sz w:val="24"/>
          <w:szCs w:val="24"/>
          <w:lang w:eastAsia="it-IT"/>
          <w14:ligatures w14:val="none"/>
        </w:rPr>
        <w:t>eventuali ulteriori evidenze opportune nel caso specifico: ad es. diritto di usufrutto o di abitazione ex art. 540 cod.civ.</w:t>
      </w:r>
      <w:r w:rsidR="00F34FE0" w:rsidRPr="0059526F">
        <w:rPr>
          <w:rFonts w:ascii="Garamond" w:eastAsia="Times New Roman" w:hAnsi="Garamond" w:cs="Times New Roman"/>
          <w:i/>
          <w:iCs/>
          <w:color w:val="000000"/>
          <w:kern w:val="0"/>
          <w:sz w:val="24"/>
          <w:szCs w:val="24"/>
          <w:lang w:eastAsia="it-IT"/>
          <w14:ligatures w14:val="none"/>
        </w:rPr>
        <w:t xml:space="preserve"> intavolato al G.N. </w:t>
      </w:r>
      <w:r w:rsidR="00F34FE0" w:rsidRPr="0059526F">
        <w:rPr>
          <w:rFonts w:ascii="Garamond" w:eastAsia="Times New Roman" w:hAnsi="Garamond" w:cs="Times New Roman"/>
          <w:i/>
          <w:iCs/>
          <w:kern w:val="0"/>
          <w:sz w:val="24"/>
          <w:szCs w:val="24"/>
          <w:lang w:eastAsia="it-IT"/>
          <w14:ligatures w14:val="none"/>
        </w:rPr>
        <w:t>estinto per morte del titolare</w:t>
      </w:r>
      <w:r w:rsidRPr="0059526F">
        <w:rPr>
          <w:rFonts w:ascii="Garamond" w:eastAsia="Times New Roman" w:hAnsi="Garamond" w:cs="Times New Roman"/>
          <w:kern w:val="0"/>
          <w:sz w:val="24"/>
          <w:szCs w:val="24"/>
          <w:lang w:eastAsia="it-IT"/>
          <w14:ligatures w14:val="none"/>
        </w:rPr>
        <w:t>.</w:t>
      </w:r>
    </w:p>
    <w:p w14:paraId="38154E1E" w14:textId="68ABB30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Identificazione tavolare:</w:t>
      </w:r>
      <w:r w:rsidR="007446E7" w:rsidRPr="0059526F">
        <w:rPr>
          <w:rFonts w:ascii="Garamond" w:eastAsia="Times New Roman" w:hAnsi="Garamond" w:cs="Times New Roman"/>
          <w:b/>
          <w:bCs/>
          <w:kern w:val="0"/>
          <w:sz w:val="24"/>
          <w:szCs w:val="24"/>
          <w:lang w:eastAsia="it-IT"/>
          <w14:ligatures w14:val="none"/>
        </w:rPr>
        <w:t xml:space="preserve"> </w:t>
      </w:r>
      <w:r w:rsidR="007446E7" w:rsidRPr="0059526F">
        <w:rPr>
          <w:rFonts w:ascii="Garamond" w:eastAsia="Times New Roman" w:hAnsi="Garamond" w:cs="Times New Roman"/>
          <w:kern w:val="0"/>
          <w:sz w:val="24"/>
          <w:szCs w:val="24"/>
          <w:lang w:eastAsia="it-IT"/>
          <w14:ligatures w14:val="none"/>
        </w:rPr>
        <w:t>…</w:t>
      </w:r>
    </w:p>
    <w:p w14:paraId="24629FAE" w14:textId="19DE02A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Identificazione catastale</w:t>
      </w:r>
      <w:r w:rsidRPr="0059526F">
        <w:rPr>
          <w:rFonts w:ascii="Garamond" w:eastAsia="Times New Roman" w:hAnsi="Garamond" w:cs="Times New Roman"/>
          <w:kern w:val="0"/>
          <w:sz w:val="24"/>
          <w:szCs w:val="24"/>
          <w:lang w:eastAsia="it-IT"/>
          <w14:ligatures w14:val="none"/>
        </w:rPr>
        <w:t>:</w:t>
      </w:r>
      <w:r w:rsidR="007446E7" w:rsidRPr="0059526F">
        <w:rPr>
          <w:rFonts w:ascii="Garamond" w:eastAsia="Times New Roman" w:hAnsi="Garamond" w:cs="Times New Roman"/>
          <w:kern w:val="0"/>
          <w:sz w:val="24"/>
          <w:szCs w:val="24"/>
          <w:lang w:eastAsia="it-IT"/>
          <w14:ligatures w14:val="none"/>
        </w:rPr>
        <w:t xml:space="preserve"> …</w:t>
      </w:r>
    </w:p>
    <w:p w14:paraId="76949453" w14:textId="6A8BE921"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Diritto trasferito:</w:t>
      </w:r>
      <w:r w:rsidRPr="0059526F">
        <w:rPr>
          <w:rFonts w:ascii="Garamond" w:eastAsia="Times New Roman" w:hAnsi="Garamond" w:cs="Times New Roman"/>
          <w:kern w:val="0"/>
          <w:sz w:val="24"/>
          <w:szCs w:val="24"/>
          <w:lang w:eastAsia="it-IT"/>
          <w14:ligatures w14:val="none"/>
        </w:rPr>
        <w:t xml:space="preserve">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(es. intera e piena proprietà)</w:t>
      </w:r>
    </w:p>
    <w:p w14:paraId="30932618" w14:textId="58705FD4" w:rsidR="00DB3FAA" w:rsidRPr="0059526F" w:rsidRDefault="00F34FE0" w:rsidP="0059526F">
      <w:pPr>
        <w:spacing w:after="0" w:line="360" w:lineRule="auto"/>
        <w:jc w:val="both"/>
        <w:rPr>
          <w:rFonts w:ascii="Garamond" w:eastAsia="Times New Roman" w:hAnsi="Garamond" w:cs="Times New Roman"/>
          <w:color w:val="000000"/>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Stima dei beni e siti di pubblicità</w:t>
      </w:r>
      <w:r w:rsidRPr="0059526F">
        <w:rPr>
          <w:rFonts w:ascii="Garamond" w:eastAsia="Times New Roman" w:hAnsi="Garamond" w:cs="Times New Roman"/>
          <w:kern w:val="0"/>
          <w:sz w:val="24"/>
          <w:szCs w:val="24"/>
          <w:lang w:eastAsia="it-IT"/>
          <w14:ligatures w14:val="none"/>
        </w:rPr>
        <w:t>: relazione di stima geom.</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/arch.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di data </w:t>
      </w:r>
      <w:r w:rsid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xml:space="preserve">, da </w:t>
      </w:r>
      <w:r w:rsidRPr="0059526F">
        <w:rPr>
          <w:rFonts w:ascii="Garamond" w:eastAsia="Times New Roman" w:hAnsi="Garamond" w:cs="Times New Roman"/>
          <w:color w:val="000000"/>
          <w:kern w:val="0"/>
          <w:sz w:val="24"/>
          <w:szCs w:val="24"/>
          <w:lang w:eastAsia="it-IT"/>
          <w14:ligatures w14:val="none"/>
        </w:rPr>
        <w:t xml:space="preserve">consultarsi a cura dell'offerente, e </w:t>
      </w:r>
      <w:r w:rsidRPr="0059526F">
        <w:rPr>
          <w:rFonts w:ascii="Garamond" w:eastAsia="Times New Roman" w:hAnsi="Garamond" w:cs="Times New Roman"/>
          <w:kern w:val="0"/>
          <w:sz w:val="24"/>
          <w:szCs w:val="24"/>
          <w:lang w:eastAsia="it-IT"/>
          <w14:ligatures w14:val="none"/>
        </w:rPr>
        <w:t>disponibile</w:t>
      </w:r>
      <w:r w:rsidRPr="0059526F">
        <w:rPr>
          <w:rFonts w:ascii="Garamond" w:eastAsia="Times New Roman" w:hAnsi="Garamond" w:cs="Times New Roman"/>
          <w:color w:val="000000"/>
          <w:kern w:val="0"/>
          <w:sz w:val="24"/>
          <w:szCs w:val="24"/>
          <w:lang w:eastAsia="it-IT"/>
          <w14:ligatures w14:val="none"/>
        </w:rPr>
        <w:t xml:space="preserve"> sui seguenti siti di pubblicità:</w:t>
      </w:r>
      <w:r w:rsidRPr="0059526F">
        <w:rPr>
          <w:rFonts w:ascii="Garamond" w:eastAsia="Times New Roman" w:hAnsi="Garamond" w:cs="Times New Roman"/>
          <w:b/>
          <w:bCs/>
          <w:color w:val="000000"/>
          <w:kern w:val="0"/>
          <w:sz w:val="24"/>
          <w:szCs w:val="24"/>
          <w:lang w:eastAsia="it-IT"/>
          <w14:ligatures w14:val="none"/>
        </w:rPr>
        <w:t xml:space="preserve"> </w:t>
      </w:r>
      <w:hyperlink r:id="rId9" w:history="1">
        <w:r w:rsidRPr="0059526F">
          <w:rPr>
            <w:rFonts w:ascii="Garamond" w:eastAsia="Times New Roman" w:hAnsi="Garamond" w:cs="Times New Roman"/>
            <w:color w:val="0000FF"/>
            <w:kern w:val="0"/>
            <w:sz w:val="24"/>
            <w:szCs w:val="24"/>
            <w:u w:val="single"/>
            <w:lang w:eastAsia="it-IT"/>
            <w14:ligatures w14:val="none"/>
          </w:rPr>
          <w:t>https://portalevenditepubbliche.giustizia.it</w:t>
        </w:r>
      </w:hyperlink>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w:t>
      </w:r>
      <w:hyperlink r:id="rId10" w:history="1">
        <w:r w:rsidRPr="0059526F">
          <w:rPr>
            <w:rFonts w:ascii="Garamond" w:eastAsia="Times New Roman" w:hAnsi="Garamond" w:cs="Times New Roman"/>
            <w:color w:val="0000FF"/>
            <w:kern w:val="0"/>
            <w:sz w:val="24"/>
            <w:szCs w:val="24"/>
            <w:u w:val="single"/>
            <w:lang w:eastAsia="it-IT"/>
            <w14:ligatures w14:val="none"/>
          </w:rPr>
          <w:t>www.tribunale.gorizia.it</w:t>
        </w:r>
      </w:hyperlink>
      <w:r w:rsidRPr="0059526F">
        <w:rPr>
          <w:rFonts w:ascii="Garamond" w:eastAsia="Times New Roman" w:hAnsi="Garamond" w:cs="Times New Roman"/>
          <w:color w:val="000000"/>
          <w:kern w:val="0"/>
          <w:sz w:val="24"/>
          <w:szCs w:val="24"/>
          <w:lang w:eastAsia="it-IT"/>
          <w14:ligatures w14:val="none"/>
        </w:rPr>
        <w:t xml:space="preserve">, </w:t>
      </w:r>
      <w:hyperlink r:id="rId11" w:history="1">
        <w:r w:rsidRPr="0059526F">
          <w:rPr>
            <w:rFonts w:ascii="Garamond" w:eastAsia="Times New Roman" w:hAnsi="Garamond" w:cs="Times New Roman"/>
            <w:color w:val="0000FF"/>
            <w:kern w:val="0"/>
            <w:sz w:val="24"/>
            <w:szCs w:val="24"/>
            <w:u w:val="single"/>
            <w:lang w:eastAsia="it-IT"/>
            <w14:ligatures w14:val="none"/>
          </w:rPr>
          <w:t>www.astalegale.net</w:t>
        </w:r>
      </w:hyperlink>
      <w:r w:rsidRPr="0059526F">
        <w:rPr>
          <w:rFonts w:ascii="Garamond" w:eastAsia="Times New Roman" w:hAnsi="Garamond" w:cs="Times New Roman"/>
          <w:color w:val="000000"/>
          <w:kern w:val="0"/>
          <w:sz w:val="24"/>
          <w:szCs w:val="24"/>
          <w:lang w:eastAsia="it-IT"/>
          <w14:ligatures w14:val="none"/>
        </w:rPr>
        <w:t xml:space="preserve">, </w:t>
      </w:r>
      <w:hyperlink r:id="rId12" w:history="1">
        <w:r w:rsidRPr="0059526F">
          <w:rPr>
            <w:rFonts w:ascii="Garamond" w:eastAsia="Times New Roman" w:hAnsi="Garamond" w:cs="Times New Roman"/>
            <w:color w:val="0000FF"/>
            <w:kern w:val="0"/>
            <w:sz w:val="24"/>
            <w:szCs w:val="24"/>
            <w:u w:val="single"/>
            <w:lang w:eastAsia="it-IT"/>
            <w14:ligatures w14:val="none"/>
          </w:rPr>
          <w:t>www.asteimmobili.it</w:t>
        </w:r>
      </w:hyperlink>
      <w:r w:rsidRPr="0059526F">
        <w:rPr>
          <w:rFonts w:ascii="Garamond" w:eastAsia="Times New Roman" w:hAnsi="Garamond" w:cs="Times New Roman"/>
          <w:color w:val="000000"/>
          <w:kern w:val="0"/>
          <w:sz w:val="24"/>
          <w:szCs w:val="24"/>
          <w:lang w:eastAsia="it-IT"/>
          <w14:ligatures w14:val="none"/>
        </w:rPr>
        <w:t xml:space="preserve">, </w:t>
      </w:r>
      <w:hyperlink r:id="rId13" w:history="1">
        <w:r w:rsidRPr="0059526F">
          <w:rPr>
            <w:rFonts w:ascii="Garamond" w:eastAsia="Times New Roman" w:hAnsi="Garamond" w:cs="Times New Roman"/>
            <w:color w:val="0000FF"/>
            <w:kern w:val="0"/>
            <w:sz w:val="24"/>
            <w:szCs w:val="24"/>
            <w:u w:val="single"/>
            <w:lang w:eastAsia="it-IT"/>
            <w14:ligatures w14:val="none"/>
          </w:rPr>
          <w:t>www.portaleaste.it</w:t>
        </w:r>
      </w:hyperlink>
      <w:r w:rsidRPr="0059526F">
        <w:rPr>
          <w:rFonts w:ascii="Garamond" w:eastAsia="Times New Roman" w:hAnsi="Garamond" w:cs="Times New Roman"/>
          <w:color w:val="000000"/>
          <w:kern w:val="0"/>
          <w:sz w:val="24"/>
          <w:szCs w:val="24"/>
          <w:lang w:eastAsia="it-IT"/>
          <w14:ligatures w14:val="none"/>
        </w:rPr>
        <w:t xml:space="preserve">, </w:t>
      </w:r>
      <w:hyperlink r:id="rId14" w:history="1">
        <w:r w:rsidRPr="0059526F">
          <w:rPr>
            <w:rFonts w:ascii="Garamond" w:eastAsia="Times New Roman" w:hAnsi="Garamond" w:cs="Times New Roman"/>
            <w:color w:val="0000FF"/>
            <w:kern w:val="0"/>
            <w:sz w:val="24"/>
            <w:szCs w:val="24"/>
            <w:u w:val="single"/>
            <w:lang w:eastAsia="it-IT"/>
            <w14:ligatures w14:val="none"/>
          </w:rPr>
          <w:t>www.astegiudiziarie.it</w:t>
        </w:r>
      </w:hyperlink>
      <w:r w:rsidRPr="0059526F">
        <w:rPr>
          <w:rFonts w:ascii="Garamond" w:eastAsia="Times New Roman" w:hAnsi="Garamond" w:cs="Times New Roman"/>
          <w:color w:val="000000"/>
          <w:kern w:val="0"/>
          <w:sz w:val="24"/>
          <w:szCs w:val="24"/>
          <w:lang w:eastAsia="it-IT"/>
          <w14:ligatures w14:val="none"/>
        </w:rPr>
        <w:t xml:space="preserve">, </w:t>
      </w:r>
      <w:hyperlink r:id="rId15" w:history="1">
        <w:r w:rsidRPr="0059526F">
          <w:rPr>
            <w:rFonts w:ascii="Garamond" w:eastAsia="Times New Roman" w:hAnsi="Garamond" w:cs="Times New Roman"/>
            <w:i/>
            <w:iCs/>
            <w:color w:val="0000FF"/>
            <w:kern w:val="0"/>
            <w:sz w:val="24"/>
            <w:szCs w:val="24"/>
            <w:u w:val="single"/>
            <w:lang w:eastAsia="it-IT"/>
            <w14:ligatures w14:val="none"/>
          </w:rPr>
          <w:t>www.entietribunali.it</w:t>
        </w:r>
      </w:hyperlink>
      <w:r w:rsidRPr="0059526F">
        <w:rPr>
          <w:rFonts w:ascii="Garamond" w:eastAsia="Times New Roman" w:hAnsi="Garamond" w:cs="Times New Roman"/>
          <w:i/>
          <w:iCs/>
          <w:color w:val="000000"/>
          <w:kern w:val="0"/>
          <w:sz w:val="24"/>
          <w:szCs w:val="24"/>
          <w:lang w:eastAsia="it-IT"/>
          <w14:ligatures w14:val="none"/>
        </w:rPr>
        <w:t xml:space="preserve"> e sul quotidiano Il Piccolo (questi ultimi due </w:t>
      </w:r>
      <w:r w:rsidR="007446E7" w:rsidRPr="0059526F">
        <w:rPr>
          <w:rFonts w:ascii="Garamond" w:eastAsia="Times New Roman" w:hAnsi="Garamond" w:cs="Times New Roman"/>
          <w:i/>
          <w:iCs/>
          <w:color w:val="000000"/>
          <w:kern w:val="0"/>
          <w:sz w:val="24"/>
          <w:szCs w:val="24"/>
          <w:lang w:eastAsia="it-IT"/>
          <w14:ligatures w14:val="none"/>
        </w:rPr>
        <w:t>solo se previamente richiesti dal creditore</w:t>
      </w:r>
      <w:r w:rsidRPr="0059526F">
        <w:rPr>
          <w:rFonts w:ascii="Garamond" w:eastAsia="Times New Roman" w:hAnsi="Garamond" w:cs="Times New Roman"/>
          <w:i/>
          <w:iCs/>
          <w:color w:val="000000"/>
          <w:kern w:val="0"/>
          <w:sz w:val="24"/>
          <w:szCs w:val="24"/>
          <w:lang w:eastAsia="it-IT"/>
          <w14:ligatures w14:val="none"/>
        </w:rPr>
        <w:t>).</w:t>
      </w:r>
    </w:p>
    <w:p w14:paraId="44467D37" w14:textId="77777777" w:rsidR="00FA6811" w:rsidRPr="0059526F" w:rsidRDefault="00FA6811" w:rsidP="0059526F">
      <w:pPr>
        <w:spacing w:after="0" w:line="360" w:lineRule="auto"/>
        <w:jc w:val="both"/>
        <w:rPr>
          <w:rFonts w:ascii="Garamond" w:eastAsia="Times New Roman" w:hAnsi="Garamond" w:cs="Times New Roman"/>
          <w:color w:val="000000"/>
          <w:kern w:val="0"/>
          <w:sz w:val="24"/>
          <w:szCs w:val="24"/>
          <w:lang w:eastAsia="it-IT"/>
          <w14:ligatures w14:val="none"/>
        </w:rPr>
      </w:pPr>
    </w:p>
    <w:p w14:paraId="6F7A5488" w14:textId="21415324" w:rsidR="00F34FE0" w:rsidRPr="0059526F" w:rsidRDefault="00F34FE0" w:rsidP="0059526F">
      <w:pPr>
        <w:spacing w:after="0" w:line="360" w:lineRule="auto"/>
        <w:jc w:val="both"/>
        <w:rPr>
          <w:rFonts w:ascii="Garamond" w:eastAsia="Cambria Math" w:hAnsi="Garamond" w:cs="Calibri"/>
          <w:sz w:val="24"/>
          <w:szCs w:val="24"/>
        </w:rPr>
      </w:pPr>
      <w:r w:rsidRPr="0059526F">
        <w:rPr>
          <w:rFonts w:ascii="Garamond" w:eastAsia="Times New Roman" w:hAnsi="Garamond" w:cs="Times New Roman"/>
          <w:color w:val="000000"/>
          <w:kern w:val="0"/>
          <w:sz w:val="24"/>
          <w:szCs w:val="24"/>
          <w:lang w:eastAsia="it-IT"/>
          <w14:ligatures w14:val="none"/>
        </w:rPr>
        <w:t xml:space="preserve">Alla perizia si fa rinvio, per lo stato di fatto e di diritto del bene, e per tutto ciò che concerne eventuali vincoli, oneri e pesi a qualsiasi titolo, comprese irregolarità ed in genere la situazione edilizia </w:t>
      </w:r>
      <w:r w:rsidR="0059526F" w:rsidRPr="0059526F">
        <w:rPr>
          <w:rFonts w:ascii="Garamond" w:eastAsia="Times New Roman" w:hAnsi="Garamond" w:cs="Times New Roman"/>
          <w:color w:val="000000"/>
          <w:kern w:val="0"/>
          <w:sz w:val="24"/>
          <w:szCs w:val="24"/>
          <w:lang w:eastAsia="it-IT"/>
          <w14:ligatures w14:val="none"/>
        </w:rPr>
        <w:t>e</w:t>
      </w:r>
      <w:r w:rsidRPr="0059526F">
        <w:rPr>
          <w:rFonts w:ascii="Garamond" w:eastAsia="Times New Roman" w:hAnsi="Garamond" w:cs="Times New Roman"/>
          <w:color w:val="000000"/>
          <w:kern w:val="0"/>
          <w:sz w:val="24"/>
          <w:szCs w:val="24"/>
          <w:lang w:eastAsia="it-IT"/>
          <w14:ligatures w14:val="none"/>
        </w:rPr>
        <w:t xml:space="preserve"> urbanistica, inclusa la risultanza o meno dell'attestato di prestazione energetica.</w:t>
      </w:r>
      <w:r w:rsidR="007D2613" w:rsidRPr="0059526F">
        <w:rPr>
          <w:rFonts w:ascii="Garamond" w:eastAsia="Times New Roman" w:hAnsi="Garamond" w:cs="Times New Roman"/>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Per eventuali abusi edilizi, qualora ne ricorrano i presupposti, è consentito all’aggiudicatario presentare domanda di sanatoria al Comune competente entro 120 giorni dal decreto di trasferimento. </w:t>
      </w:r>
    </w:p>
    <w:p w14:paraId="6503CEAD" w14:textId="77777777" w:rsidR="0059526F" w:rsidRDefault="0059526F" w:rsidP="0059526F">
      <w:pPr>
        <w:spacing w:after="0" w:line="360" w:lineRule="auto"/>
        <w:jc w:val="both"/>
        <w:rPr>
          <w:rFonts w:ascii="Garamond" w:eastAsia="Times New Roman" w:hAnsi="Garamond" w:cs="Times New Roman"/>
          <w:b/>
          <w:bCs/>
          <w:color w:val="000000"/>
          <w:kern w:val="0"/>
          <w:sz w:val="24"/>
          <w:szCs w:val="24"/>
          <w:lang w:eastAsia="it-IT"/>
          <w14:ligatures w14:val="none"/>
        </w:rPr>
      </w:pPr>
    </w:p>
    <w:p w14:paraId="4309E8D5" w14:textId="621F476B"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color w:val="000000"/>
          <w:kern w:val="0"/>
          <w:sz w:val="24"/>
          <w:szCs w:val="24"/>
          <w:lang w:eastAsia="it-IT"/>
          <w14:ligatures w14:val="none"/>
        </w:rPr>
        <w:t>Informazioni</w:t>
      </w:r>
      <w:r w:rsidRPr="0059526F">
        <w:rPr>
          <w:rFonts w:ascii="Garamond" w:eastAsia="Times New Roman" w:hAnsi="Garamond" w:cs="Times New Roman"/>
          <w:color w:val="000000"/>
          <w:kern w:val="0"/>
          <w:sz w:val="24"/>
          <w:szCs w:val="24"/>
          <w:lang w:eastAsia="it-IT"/>
          <w14:ligatures w14:val="none"/>
        </w:rPr>
        <w:t xml:space="preserve">: Per maggiori informazioni sulla vendita, si invita a contattare il professionista delegato e custode giudiziario, avv.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dott.</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 , con studio a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Via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n.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recapito telefonico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email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w:t>
      </w:r>
    </w:p>
    <w:p w14:paraId="0EC74EAB" w14:textId="77777777" w:rsidR="0059526F" w:rsidRDefault="0059526F" w:rsidP="0059526F">
      <w:pPr>
        <w:spacing w:after="0" w:line="360" w:lineRule="auto"/>
        <w:jc w:val="both"/>
        <w:rPr>
          <w:rFonts w:ascii="Garamond" w:eastAsia="Times New Roman" w:hAnsi="Garamond" w:cs="Times New Roman"/>
          <w:b/>
          <w:bCs/>
          <w:color w:val="000000"/>
          <w:kern w:val="0"/>
          <w:sz w:val="24"/>
          <w:szCs w:val="24"/>
          <w:lang w:eastAsia="it-IT"/>
          <w14:ligatures w14:val="none"/>
        </w:rPr>
      </w:pPr>
    </w:p>
    <w:p w14:paraId="6E35FDEE" w14:textId="5E1CB7E2"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color w:val="000000"/>
          <w:kern w:val="0"/>
          <w:sz w:val="24"/>
          <w:szCs w:val="24"/>
          <w:lang w:eastAsia="it-IT"/>
          <w14:ligatures w14:val="none"/>
        </w:rPr>
        <w:t>Visita dell'immobile</w:t>
      </w:r>
      <w:r w:rsidRPr="0059526F">
        <w:rPr>
          <w:rFonts w:ascii="Garamond" w:eastAsia="Times New Roman" w:hAnsi="Garamond" w:cs="Times New Roman"/>
          <w:color w:val="000000"/>
          <w:kern w:val="0"/>
          <w:sz w:val="24"/>
          <w:szCs w:val="24"/>
          <w:lang w:eastAsia="it-IT"/>
          <w14:ligatures w14:val="none"/>
        </w:rPr>
        <w:t xml:space="preserve">: Per fissare un appuntamento per la visita del bene, si invita a contattare il geom. Marco Fonzar, Ausiliario di custodia, addetto all'Ufficio Coordinamento Attività Vendite Immobiliari presso il Tribunale di Gorizia, Via N. Sauro, 1, Gorizia, tel. 0481/593841 / cell. 3371263353. </w:t>
      </w:r>
    </w:p>
    <w:p w14:paraId="285B8966" w14:textId="719F29FB"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Tutte le attività che, a norma degli artt. 571 e segg. c.p.c., devono essere compiute in Cancelleria Esecuzioni Immobiliari o davanti al Giudice dell’esecuzione o dal Cancelliere o dal Giudice dell’esecuzione del Tribunale di Gorizia, sono eseguite dal professionista delegato avv.</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/dott.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w:t>
      </w:r>
    </w:p>
    <w:p w14:paraId="5AB2E44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La pubblicità, le modalità di presentazione delle domande e le condizioni di vendita sono regolate dalle Condizioni generali delle vendite immobiliari delegate</w:t>
      </w:r>
      <w:r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allegate al presente avviso.</w:t>
      </w:r>
    </w:p>
    <w:p w14:paraId="196B84A5" w14:textId="77777777" w:rsidR="0059526F" w:rsidRDefault="0059526F" w:rsidP="0059526F">
      <w:pPr>
        <w:spacing w:after="0" w:line="360" w:lineRule="auto"/>
        <w:jc w:val="both"/>
        <w:rPr>
          <w:rFonts w:ascii="Garamond" w:eastAsia="Times New Roman" w:hAnsi="Garamond" w:cs="Times New Roman"/>
          <w:i/>
          <w:iCs/>
          <w:kern w:val="0"/>
          <w:sz w:val="24"/>
          <w:szCs w:val="24"/>
          <w:lang w:eastAsia="it-IT"/>
          <w14:ligatures w14:val="none"/>
        </w:rPr>
      </w:pPr>
    </w:p>
    <w:p w14:paraId="50E68433" w14:textId="0F21A960"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 xml:space="preserve">Luogo e data </w:t>
      </w:r>
    </w:p>
    <w:p w14:paraId="7F374042" w14:textId="45A8B882" w:rsidR="0008479D" w:rsidRPr="0059526F" w:rsidRDefault="00F34FE0" w:rsidP="0028652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Il professionista delegato avv.</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/dott. </w:t>
      </w:r>
      <w:r w:rsidR="007446E7" w:rsidRPr="0059526F">
        <w:rPr>
          <w:rFonts w:ascii="Garamond" w:eastAsia="Times New Roman" w:hAnsi="Garamond" w:cs="Times New Roman"/>
          <w:kern w:val="0"/>
          <w:sz w:val="24"/>
          <w:szCs w:val="24"/>
          <w:lang w:eastAsia="it-IT"/>
          <w14:ligatures w14:val="none"/>
        </w:rPr>
        <w:t xml:space="preserve">… </w:t>
      </w:r>
    </w:p>
    <w:p w14:paraId="7127D5E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p>
    <w:p w14:paraId="2046A15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CONDIZIONI GENERALI DI VENDITA SENZA INCANTO DELEGATA TELEMATICA SINCRONA MISTA </w:t>
      </w:r>
    </w:p>
    <w:p w14:paraId="598B22FB" w14:textId="77777777" w:rsidR="0059526F" w:rsidRDefault="0059526F" w:rsidP="0059526F">
      <w:pPr>
        <w:spacing w:after="0" w:line="360" w:lineRule="auto"/>
        <w:jc w:val="both"/>
        <w:rPr>
          <w:rFonts w:ascii="Garamond" w:eastAsia="Times New Roman" w:hAnsi="Garamond" w:cs="Times New Roman"/>
          <w:kern w:val="0"/>
          <w:sz w:val="24"/>
          <w:szCs w:val="24"/>
          <w:lang w:eastAsia="it-IT"/>
          <w14:ligatures w14:val="none"/>
        </w:rPr>
      </w:pPr>
    </w:p>
    <w:p w14:paraId="50A861F1" w14:textId="4CCC6D55"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L'offerta di acquisto può essere presentata</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in forma cartacea o telematica.</w:t>
      </w:r>
    </w:p>
    <w:p w14:paraId="5DDD8AEE" w14:textId="77777777" w:rsidR="0059526F" w:rsidRDefault="0059526F" w:rsidP="0059526F">
      <w:pPr>
        <w:spacing w:after="0" w:line="360" w:lineRule="auto"/>
        <w:jc w:val="both"/>
        <w:rPr>
          <w:rFonts w:ascii="Garamond" w:eastAsia="Times New Roman" w:hAnsi="Garamond" w:cs="Times New Roman"/>
          <w:b/>
          <w:bCs/>
          <w:kern w:val="0"/>
          <w:sz w:val="24"/>
          <w:szCs w:val="24"/>
          <w:lang w:eastAsia="it-IT"/>
          <w14:ligatures w14:val="none"/>
        </w:rPr>
      </w:pPr>
    </w:p>
    <w:p w14:paraId="66C2447F" w14:textId="49C9CD8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08479D">
        <w:rPr>
          <w:rFonts w:ascii="Garamond" w:eastAsia="Times New Roman" w:hAnsi="Garamond" w:cs="Times New Roman"/>
          <w:b/>
          <w:bCs/>
          <w:kern w:val="0"/>
          <w:sz w:val="24"/>
          <w:szCs w:val="24"/>
          <w:u w:val="single"/>
          <w:lang w:eastAsia="it-IT"/>
          <w14:ligatures w14:val="none"/>
        </w:rPr>
        <w:t>Modalità di presentazione e requisiti dell'offerta cartacea</w:t>
      </w:r>
      <w:r w:rsidRPr="0059526F">
        <w:rPr>
          <w:rFonts w:ascii="Garamond" w:eastAsia="Times New Roman" w:hAnsi="Garamond" w:cs="Times New Roman"/>
          <w:b/>
          <w:bCs/>
          <w:kern w:val="0"/>
          <w:sz w:val="24"/>
          <w:szCs w:val="24"/>
          <w:lang w:eastAsia="it-IT"/>
          <w14:ligatures w14:val="none"/>
        </w:rPr>
        <w:t>.</w:t>
      </w:r>
    </w:p>
    <w:p w14:paraId="45CAB632" w14:textId="7A5A6318" w:rsidR="00F34FE0" w:rsidRPr="0059526F" w:rsidRDefault="00F34FE0" w:rsidP="0008479D">
      <w:pPr>
        <w:spacing w:after="0" w:line="360" w:lineRule="auto"/>
        <w:ind w:firstLine="426"/>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di acquisto deve essere depositata, in busta chiusa, senza alcuna indicazione esterna, </w:t>
      </w:r>
      <w:r w:rsidRPr="0059526F">
        <w:rPr>
          <w:rFonts w:ascii="Garamond" w:eastAsia="Times New Roman" w:hAnsi="Garamond" w:cs="Times New Roman"/>
          <w:b/>
          <w:bCs/>
          <w:kern w:val="0"/>
          <w:sz w:val="24"/>
          <w:szCs w:val="24"/>
          <w:lang w:eastAsia="it-IT"/>
          <w14:ligatures w14:val="none"/>
        </w:rPr>
        <w:t>entro le ore 12.00</w:t>
      </w:r>
      <w:r w:rsidRPr="0059526F">
        <w:rPr>
          <w:rFonts w:ascii="Garamond" w:eastAsia="Times New Roman" w:hAnsi="Garamond" w:cs="Times New Roman"/>
          <w:kern w:val="0"/>
          <w:sz w:val="24"/>
          <w:szCs w:val="24"/>
          <w:lang w:eastAsia="it-IT"/>
          <w14:ligatures w14:val="none"/>
        </w:rPr>
        <w:t xml:space="preserve"> del giorno indicato nel presente avviso di vendita (</w:t>
      </w:r>
      <w:r w:rsidRPr="0059526F">
        <w:rPr>
          <w:rFonts w:ascii="Garamond" w:eastAsia="Times New Roman" w:hAnsi="Garamond" w:cs="Times New Roman"/>
          <w:i/>
          <w:iCs/>
          <w:kern w:val="0"/>
          <w:sz w:val="24"/>
          <w:szCs w:val="24"/>
          <w:lang w:eastAsia="it-IT"/>
          <w14:ligatures w14:val="none"/>
        </w:rPr>
        <w:t>indicare la data</w:t>
      </w:r>
      <w:r w:rsidRPr="0059526F">
        <w:rPr>
          <w:rFonts w:ascii="Garamond" w:eastAsia="Times New Roman" w:hAnsi="Garamond" w:cs="Times New Roman"/>
          <w:kern w:val="0"/>
          <w:sz w:val="24"/>
          <w:szCs w:val="24"/>
          <w:lang w:eastAsia="it-IT"/>
          <w14:ligatures w14:val="none"/>
        </w:rPr>
        <w:t>), presso lo studio del professionista delegato.</w:t>
      </w:r>
    </w:p>
    <w:p w14:paraId="0CBC71E3" w14:textId="26DAC90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in carta legale (= munita di marca da bollo da € 16,00), firmata dall'offerente, deve contenere: </w:t>
      </w:r>
    </w:p>
    <w:p w14:paraId="3469BD26" w14:textId="2BF7135F"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Generalità dell'offerente</w:t>
      </w:r>
      <w:r w:rsidRPr="0059526F">
        <w:rPr>
          <w:rFonts w:ascii="Garamond" w:eastAsia="Times New Roman" w:hAnsi="Garamond" w:cs="Times New Roman"/>
          <w:kern w:val="0"/>
          <w:sz w:val="24"/>
          <w:szCs w:val="24"/>
          <w:lang w:eastAsia="it-IT"/>
          <w14:ligatures w14:val="none"/>
        </w:rPr>
        <w:t xml:space="preserve">: cognome e nome, luogo e data di nascita, codice fiscale, residenza o domicilio, stato civile (se coniugato in regime di comunione legale dei beni, devono essere indicati anche i corrispondenti dati del coniuge), recapito telefonico del soggetto cui andrà intestato l’immobile, indirizzo di posta elettronica ordinaria o certificata (se disponibile); se offerente è una persona giuridica, devono essere indicati gli estremi identificativi dell'ente (denominazione, sede, codice fiscale e partita IVA, pec, ecc.) e del legale rappresentante ed i poteri rappresentativi di colui che sottoscrive l'offerta </w:t>
      </w:r>
      <w:r w:rsidRPr="0059526F">
        <w:rPr>
          <w:rFonts w:ascii="Garamond" w:eastAsia="Times New Roman" w:hAnsi="Garamond" w:cs="Times New Roman"/>
          <w:color w:val="000000"/>
          <w:kern w:val="0"/>
          <w:sz w:val="24"/>
          <w:szCs w:val="24"/>
          <w:lang w:eastAsia="it-IT"/>
          <w14:ligatures w14:val="none"/>
        </w:rPr>
        <w:t xml:space="preserve">e dovrà essere prodotta visura della C.C.I.A.A. dalla quale risultino la costituzione della società e i poteri conferiti all’offerente; se l’offerente agisce quale legale rappresentante di altro soggetto, dovrà essere allegato certificato del registro delle imprese da cui risultino i poteri ovvero la procura o l’atto di nomina che giustifichi i poteri. Se la società ha sede all’estero dovrà essere prodotta certificazione in originale del competente Ufficio del Registro delle Imprese o altro Ufficio competente attestante la costituzione della società e i poteri conferiti all’offerente. Detta certificazione dovrà essere munita di legalizzazione o apostille in base alle Convenzioni internazionali vigenti; </w:t>
      </w:r>
    </w:p>
    <w:p w14:paraId="578A30AC"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Se l’offerente è minorenne, l’offerta dovrà essere sottoscritta dai genitori previa autorizzazione del giudice tutelare, che dovrà essere allegata all’offerta.</w:t>
      </w:r>
    </w:p>
    <w:p w14:paraId="6B7A1677"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shd w:val="clear" w:color="auto" w:fill="FFFFFF"/>
          <w:lang w:eastAsia="it-IT"/>
          <w14:ligatures w14:val="none"/>
        </w:rPr>
        <w:t>Sottoscrizione dell'offerta e partecipazione all'udienza</w:t>
      </w:r>
      <w:r w:rsidRPr="0059526F">
        <w:rPr>
          <w:rFonts w:ascii="Garamond" w:eastAsia="Times New Roman" w:hAnsi="Garamond" w:cs="Times New Roman"/>
          <w:kern w:val="0"/>
          <w:sz w:val="24"/>
          <w:szCs w:val="24"/>
          <w:shd w:val="clear" w:color="auto" w:fill="FFFFFF"/>
          <w:lang w:eastAsia="it-IT"/>
          <w14:ligatures w14:val="none"/>
        </w:rPr>
        <w:t xml:space="preserve">. </w:t>
      </w:r>
    </w:p>
    <w:p w14:paraId="45BCC738" w14:textId="512D27E8"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lastRenderedPageBreak/>
        <w:t>L'offerente deve sottoscrivere l'offerta e partecipare all'udienza fissata per la vendita personalmente, o a mezzo di procuratore legale – per tale intendendosi un avvocato</w:t>
      </w:r>
      <w:r w:rsidR="007446E7" w:rsidRPr="0059526F">
        <w:rPr>
          <w:rFonts w:ascii="Garamond" w:eastAsia="Times New Roman" w:hAnsi="Garamond" w:cs="Times New Roman"/>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 xml:space="preserve"> munito di procura speciale notarile, anche per persona da nominare. </w:t>
      </w:r>
    </w:p>
    <w:p w14:paraId="76339013" w14:textId="39E7E6BA"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In caso di offerta di acquisto quale bene personale di persona coniugata in comunione legale, l'offerta deve contenere espressa dichiarazione di acquisto come bene personale; la dichiarazione dell'altro coniuge ricognitiva della natura di bene personale può essere resa e sottoscritta nell'offerta o in allegato alla stessa; o all'atto dell'eventuale aggiudicazione, alla quale pertanto l'altro coniuge dovrà essere presente, resa a verbale al professionista delegato; o infine con dichiarazione scritta resa nello studio</w:t>
      </w:r>
      <w:r w:rsidRPr="0059526F">
        <w:rPr>
          <w:rFonts w:ascii="Garamond" w:eastAsia="Times New Roman" w:hAnsi="Garamond" w:cs="Times New Roman"/>
          <w:b/>
          <w:bCs/>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del professionista delegato successivamente</w:t>
      </w:r>
      <w:r w:rsidRPr="0059526F">
        <w:rPr>
          <w:rFonts w:ascii="Garamond" w:eastAsia="Times New Roman" w:hAnsi="Garamond" w:cs="Times New Roman"/>
          <w:b/>
          <w:bCs/>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all'aggiudicazione, </w:t>
      </w:r>
      <w:r w:rsidR="007446E7" w:rsidRPr="0059526F">
        <w:rPr>
          <w:rFonts w:ascii="Garamond" w:eastAsia="Times New Roman" w:hAnsi="Garamond" w:cs="Times New Roman"/>
          <w:color w:val="000000"/>
          <w:kern w:val="0"/>
          <w:sz w:val="24"/>
          <w:szCs w:val="24"/>
          <w:lang w:eastAsia="it-IT"/>
          <w14:ligatures w14:val="none"/>
        </w:rPr>
        <w:t>purché</w:t>
      </w:r>
      <w:r w:rsidRPr="0059526F">
        <w:rPr>
          <w:rFonts w:ascii="Garamond" w:eastAsia="Times New Roman" w:hAnsi="Garamond" w:cs="Times New Roman"/>
          <w:color w:val="000000"/>
          <w:kern w:val="0"/>
          <w:sz w:val="24"/>
          <w:szCs w:val="24"/>
          <w:lang w:eastAsia="it-IT"/>
          <w14:ligatures w14:val="none"/>
        </w:rPr>
        <w:t xml:space="preserve"> prima del deposito del decreto di trasferimento.</w:t>
      </w:r>
    </w:p>
    <w:p w14:paraId="332B15D9"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In caso di offerta congiunta, in mancanza di indicazione delle quote da intestare a ciascun offerente, l'intestazione sarà di pari quota indivisa.</w:t>
      </w:r>
    </w:p>
    <w:p w14:paraId="16F203DF"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L'offerente deve partecipare, personalmente o a mezzo del procuratore speciale, all'udienza fissata per la vendita: in mancanza, si procederà ugualmente all'esame dell'offerta e, se valida, in presenza di unica offerta, all'aggiudicazione; in caso di altre offerte, la mancata comparizione equivale a rinuncia a partecipare alla gara.</w:t>
      </w:r>
    </w:p>
    <w:p w14:paraId="5D8B33EA" w14:textId="10AF982C"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Dati identificativi del bene immobile</w:t>
      </w:r>
      <w:r w:rsidRPr="0059526F">
        <w:rPr>
          <w:rFonts w:ascii="Garamond" w:eastAsia="Times New Roman" w:hAnsi="Garamond" w:cs="Times New Roman"/>
          <w:kern w:val="0"/>
          <w:sz w:val="24"/>
          <w:szCs w:val="24"/>
          <w:lang w:eastAsia="it-IT"/>
          <w14:ligatures w14:val="none"/>
        </w:rPr>
        <w:t xml:space="preserve">: l'offerta deve indicare ubicazione e destinazione del bene indicata nell'avviso di vendita – es. appartamento; box, terreno, ecc.; i dati tavolari e catastali; </w:t>
      </w:r>
    </w:p>
    <w:p w14:paraId="405370CC"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numero di procedura: Es.Imm. </w:t>
      </w:r>
      <w:r w:rsidRPr="0059526F">
        <w:rPr>
          <w:rFonts w:ascii="Garamond" w:eastAsia="Times New Roman" w:hAnsi="Garamond" w:cs="Times New Roman"/>
          <w:i/>
          <w:iCs/>
          <w:kern w:val="0"/>
          <w:sz w:val="24"/>
          <w:szCs w:val="24"/>
          <w:lang w:eastAsia="it-IT"/>
          <w14:ligatures w14:val="none"/>
        </w:rPr>
        <w:t>N°/Anno</w:t>
      </w:r>
      <w:r w:rsidRPr="0059526F">
        <w:rPr>
          <w:rFonts w:ascii="Garamond" w:eastAsia="Times New Roman" w:hAnsi="Garamond" w:cs="Times New Roman"/>
          <w:kern w:val="0"/>
          <w:sz w:val="24"/>
          <w:szCs w:val="24"/>
          <w:lang w:eastAsia="it-IT"/>
          <w14:ligatures w14:val="none"/>
        </w:rPr>
        <w:t xml:space="preserve">; </w:t>
      </w:r>
    </w:p>
    <w:p w14:paraId="5C1B2550"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numero di lotto indicato nell'avviso di vendita in caso di più lotti oppure lotto unico;</w:t>
      </w:r>
    </w:p>
    <w:p w14:paraId="18735AC9" w14:textId="26A794BF"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Indicazione del prezzo offerto</w:t>
      </w:r>
      <w:r w:rsidRPr="0059526F">
        <w:rPr>
          <w:rFonts w:ascii="Garamond" w:eastAsia="Times New Roman" w:hAnsi="Garamond" w:cs="Times New Roman"/>
          <w:kern w:val="0"/>
          <w:sz w:val="24"/>
          <w:szCs w:val="24"/>
          <w:lang w:eastAsia="it-IT"/>
          <w14:ligatures w14:val="none"/>
        </w:rPr>
        <w:t>, che non può essere inferiore all'offerta minima indicata nell'avviso di vendita per la partecipazione all'asta (ovvero al 75% del prezzo base indicato nell’avviso di vendita), a pena di esclusione.</w:t>
      </w:r>
    </w:p>
    <w:p w14:paraId="1C6E9A01" w14:textId="18D008B2"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il termine di versamento del saldo prezzo</w:t>
      </w:r>
      <w:r w:rsidRPr="0059526F">
        <w:rPr>
          <w:rFonts w:ascii="Garamond" w:eastAsia="Times New Roman" w:hAnsi="Garamond" w:cs="Times New Roman"/>
          <w:kern w:val="0"/>
          <w:sz w:val="24"/>
          <w:szCs w:val="24"/>
          <w:lang w:eastAsia="it-IT"/>
          <w14:ligatures w14:val="none"/>
        </w:rPr>
        <w:t>, che non può essere superiore a 60 giorni dall'aggiudicazione, come stabilito nell'Ordinanza di vendita.</w:t>
      </w:r>
    </w:p>
    <w:p w14:paraId="5A16C8B1" w14:textId="6DD56494"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l’espressa dichiarazione</w:t>
      </w:r>
      <w:r w:rsidRPr="0059526F">
        <w:rPr>
          <w:rFonts w:ascii="Garamond" w:eastAsia="Times New Roman" w:hAnsi="Garamond" w:cs="Times New Roman"/>
          <w:kern w:val="0"/>
          <w:sz w:val="24"/>
          <w:szCs w:val="24"/>
          <w:lang w:eastAsia="it-IT"/>
          <w14:ligatures w14:val="none"/>
        </w:rPr>
        <w:t xml:space="preserve"> di aver preso visione della perizia di stima, dell'avviso di vendita e delle condizioni generali di vendita;</w:t>
      </w:r>
    </w:p>
    <w:p w14:paraId="4597025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Documenti da allegare all'offerta</w:t>
      </w:r>
      <w:r w:rsidRPr="0059526F">
        <w:rPr>
          <w:rFonts w:ascii="Garamond" w:eastAsia="Times New Roman" w:hAnsi="Garamond" w:cs="Times New Roman"/>
          <w:kern w:val="0"/>
          <w:sz w:val="24"/>
          <w:szCs w:val="24"/>
          <w:lang w:eastAsia="it-IT"/>
          <w14:ligatures w14:val="none"/>
        </w:rPr>
        <w:t xml:space="preserve">. </w:t>
      </w:r>
    </w:p>
    <w:p w14:paraId="371E0E36" w14:textId="1F0CB56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All’offerta devono essere allegati copia del documento di identità e del codice fiscale dell'offerente. Se offerente è una persona giuridica, devono essere allegati i documenti da cui risultino gli estremi identificativi dell'ente e del legale rappresentante ed i poteri rappresentativi di colui che sottoscrive l'offerta (visura camerale, procura speciale autentica notarile, delibera assembleare, delibera consiglio di amministrazione, ecc).</w:t>
      </w:r>
    </w:p>
    <w:p w14:paraId="6CA55DC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Cauzione</w:t>
      </w:r>
      <w:r w:rsidRPr="0059526F">
        <w:rPr>
          <w:rFonts w:ascii="Garamond" w:eastAsia="Times New Roman" w:hAnsi="Garamond" w:cs="Times New Roman"/>
          <w:kern w:val="0"/>
          <w:sz w:val="24"/>
          <w:szCs w:val="24"/>
          <w:lang w:eastAsia="it-IT"/>
          <w14:ligatures w14:val="none"/>
        </w:rPr>
        <w:t xml:space="preserve">. </w:t>
      </w:r>
    </w:p>
    <w:p w14:paraId="1713F447" w14:textId="11EA2D3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 xml:space="preserve">L'offerta di acquisto deve essere garantita da cauzione di importo pari al 10% del prezzo offerto, e versata mediante assegno circolare non trasferibile riportante la seguente intestazione: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inserito in originale nella busta contenente l'offerta, o mediante bonifico sul conto corrente intestato alla procedura IBAN …......................</w:t>
      </w:r>
      <w:r w:rsidR="00861547" w:rsidRPr="0059526F">
        <w:rPr>
          <w:rFonts w:ascii="Garamond" w:eastAsia="Times New Roman" w:hAnsi="Garamond" w:cs="Times New Roman"/>
          <w:kern w:val="0"/>
          <w:sz w:val="24"/>
          <w:szCs w:val="24"/>
          <w:lang w:eastAsia="it-IT"/>
          <w14:ligatures w14:val="none"/>
        </w:rPr>
        <w:t xml:space="preserve"> con </w:t>
      </w:r>
      <w:r w:rsidRPr="0059526F">
        <w:rPr>
          <w:rFonts w:ascii="Garamond" w:eastAsia="Times New Roman" w:hAnsi="Garamond" w:cs="Times New Roman"/>
          <w:kern w:val="0"/>
          <w:sz w:val="24"/>
          <w:szCs w:val="24"/>
          <w:lang w:eastAsia="it-IT"/>
          <w14:ligatures w14:val="none"/>
        </w:rPr>
        <w:t xml:space="preserve">causale: versamento cauzione lotto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la cui contabile va inserita nella busta in uno all'offerta, con valuta di accredito entro il termine di presentazione delle offerte.</w:t>
      </w:r>
    </w:p>
    <w:p w14:paraId="738F064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presentata è irrevocabile. La cauzione è trattenuta in caso di inadempimento al versamento del saldo prezzo a seguito d'aggiudicazione, entro il termine previsto a pena di decadenza di 60 giorni. </w:t>
      </w:r>
    </w:p>
    <w:p w14:paraId="50F0E4B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L'offerta non è efficace:</w:t>
      </w:r>
    </w:p>
    <w:p w14:paraId="4483950D" w14:textId="73A4779D"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perviene oltre il termine stabilito nel presente avviso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p>
    <w:p w14:paraId="06F9F9A1" w14:textId="6552E50B"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è inferiore di oltre un quarto al prezzo base stabilito nel presente avviso ovverosia è inferiore all'offerta minima indicata nel presente avviso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p>
    <w:p w14:paraId="3EEA4A2A" w14:textId="77777777"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l'offerente presta cauzione in misura inferiore al 10% del prezzo offerto.</w:t>
      </w:r>
    </w:p>
    <w:p w14:paraId="36BB62D5" w14:textId="77777777" w:rsidR="0028652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5B55D00F" w14:textId="6A2F617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08479D">
        <w:rPr>
          <w:rFonts w:ascii="Garamond" w:eastAsia="Times New Roman" w:hAnsi="Garamond" w:cs="Times New Roman"/>
          <w:b/>
          <w:bCs/>
          <w:kern w:val="0"/>
          <w:sz w:val="24"/>
          <w:szCs w:val="24"/>
          <w:u w:val="single"/>
          <w:lang w:eastAsia="it-IT"/>
          <w14:ligatures w14:val="none"/>
        </w:rPr>
        <w:t>Modalità di presentazione e requisiti dell'offerta telematica</w:t>
      </w:r>
      <w:r w:rsidRPr="0059526F">
        <w:rPr>
          <w:rFonts w:ascii="Garamond" w:eastAsia="Times New Roman" w:hAnsi="Garamond" w:cs="Times New Roman"/>
          <w:b/>
          <w:bCs/>
          <w:kern w:val="0"/>
          <w:sz w:val="24"/>
          <w:szCs w:val="24"/>
          <w:lang w:eastAsia="it-IT"/>
          <w14:ligatures w14:val="none"/>
        </w:rPr>
        <w:t xml:space="preserve">. </w:t>
      </w:r>
    </w:p>
    <w:p w14:paraId="061BA3AC" w14:textId="77777777" w:rsidR="00F34FE0" w:rsidRPr="0059526F" w:rsidRDefault="00F34FE0" w:rsidP="0008479D">
      <w:pPr>
        <w:spacing w:after="0" w:line="360" w:lineRule="auto"/>
        <w:ind w:firstLine="426"/>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Predisposizione ed invio dell'offerta telematica</w:t>
      </w:r>
    </w:p>
    <w:p w14:paraId="6D62B740" w14:textId="778D1E9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deve essere redatta mediante il modulo web ministeriale “Offerta Telematica” accessibile tramite apposita funzione “invia offerta” presente all’interno dell’annuncio pubblicato sul portale del Gestore della vendita telematica ( </w:t>
      </w:r>
      <w:hyperlink r:id="rId16" w:history="1">
        <w:r w:rsidRPr="0059526F">
          <w:rPr>
            <w:rFonts w:ascii="Garamond" w:eastAsia="Times New Roman" w:hAnsi="Garamond" w:cs="Times New Roman"/>
            <w:color w:val="0000FF"/>
            <w:kern w:val="0"/>
            <w:sz w:val="24"/>
            <w:szCs w:val="24"/>
            <w:u w:val="single"/>
            <w:lang w:eastAsia="it-IT"/>
            <w14:ligatures w14:val="none"/>
          </w:rPr>
          <w:t>www.spazioaste.it</w:t>
        </w:r>
      </w:hyperlink>
      <w:r w:rsidRPr="0059526F">
        <w:rPr>
          <w:rFonts w:ascii="Garamond" w:eastAsia="Times New Roman" w:hAnsi="Garamond" w:cs="Times New Roman"/>
          <w:kern w:val="0"/>
          <w:sz w:val="24"/>
          <w:szCs w:val="24"/>
          <w:lang w:eastAsia="it-IT"/>
          <w14:ligatures w14:val="none"/>
        </w:rPr>
        <w:t xml:space="preserve"> o </w:t>
      </w:r>
      <w:hyperlink r:id="rId17" w:history="1">
        <w:r w:rsidRPr="0059526F">
          <w:rPr>
            <w:rFonts w:ascii="Garamond" w:eastAsia="Times New Roman" w:hAnsi="Garamond" w:cs="Times New Roman"/>
            <w:color w:val="0000FF"/>
            <w:kern w:val="0"/>
            <w:sz w:val="24"/>
            <w:szCs w:val="24"/>
            <w:u w:val="single"/>
            <w:lang w:eastAsia="it-IT"/>
            <w14:ligatures w14:val="none"/>
          </w:rPr>
          <w:t>www.astetelematiche.it</w:t>
        </w:r>
      </w:hyperlink>
      <w:r w:rsidRPr="0059526F">
        <w:rPr>
          <w:rFonts w:ascii="Garamond" w:eastAsia="Times New Roman" w:hAnsi="Garamond" w:cs="Times New Roman"/>
          <w:color w:val="0000FF"/>
          <w:kern w:val="0"/>
          <w:sz w:val="24"/>
          <w:szCs w:val="24"/>
          <w:lang w:eastAsia="it-IT"/>
          <w14:ligatures w14:val="none"/>
        </w:rPr>
        <w:t xml:space="preserve"> ). </w:t>
      </w:r>
      <w:r w:rsidRPr="0059526F">
        <w:rPr>
          <w:rFonts w:ascii="Garamond" w:eastAsia="Times New Roman" w:hAnsi="Garamond" w:cs="Times New Roman"/>
          <w:kern w:val="0"/>
          <w:sz w:val="24"/>
          <w:szCs w:val="24"/>
          <w:lang w:eastAsia="it-IT"/>
          <w14:ligatures w14:val="none"/>
        </w:rPr>
        <w:t>Una volta inseriti i dati ed i documenti necessari, il portale consentirà la generazione dell’offerta telematica che dovrà essere inviata ad un apposito indirizzo di posta elettronica certificata del Ministero della Giustizia</w:t>
      </w:r>
      <w:r w:rsidR="001F2F01"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mediante apposita casella di “posta elettronica certificata per la vendita telematica” oppure, in mancanza di tale apposito indirizzo, dovrà essere sottoscritta con firma digitale ed inviata tramite un normale indirizzo di posta elettronica certificata.</w:t>
      </w:r>
    </w:p>
    <w:p w14:paraId="40B67202" w14:textId="32408122" w:rsidR="001F2F01"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Nella pagina web iniziale Modulo web ministeriale “Offerta Telematica” è disponibile il “Manuale utente” messo a disposizione dal Ministero della Giustizia contenente le indicazioni per la compilazione e l’invio dell’offerta telematica. Non saranno accettate offerte trasmesse dopo il termine fissato per la presentazione dell’offerta d’asta.</w:t>
      </w:r>
    </w:p>
    <w:p w14:paraId="199BDAF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Onde evitare la non completa e quindi mancata trasmissione della documentazione, è consigliabile iniziare il processo di inserimento della stessa con largo anticipo rispetto al termine fissato. </w:t>
      </w:r>
    </w:p>
    <w:p w14:paraId="0B2CF14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Le offerte presentate sono irrevocabili. Una volta trasmessa l’offerta telematica non sarà più possibile modificare o cancellare l’offerta d’asta e la relativa documentazione, che saranno acquisite definitivamente dal portale e conservate dal portale stesso in modo segreto. </w:t>
      </w:r>
    </w:p>
    <w:p w14:paraId="5630202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Le comunicazioni per via telematica saranno effettuate all’indirizzo di posta elettronica certificata per la vendita telematica utilizzato per effettuare l’invio dell’offerta. </w:t>
      </w:r>
    </w:p>
    <w:p w14:paraId="0F4F6F30"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 xml:space="preserve">L'offerente può </w:t>
      </w:r>
      <w:r w:rsidRPr="0059526F">
        <w:rPr>
          <w:rFonts w:ascii="Garamond" w:eastAsia="Times New Roman" w:hAnsi="Garamond" w:cs="Times New Roman"/>
          <w:b/>
          <w:bCs/>
          <w:kern w:val="0"/>
          <w:sz w:val="24"/>
          <w:szCs w:val="24"/>
          <w:lang w:eastAsia="it-IT"/>
          <w14:ligatures w14:val="none"/>
        </w:rPr>
        <w:t>sottoscrivere l'offerta e partecipare all'udienza</w:t>
      </w:r>
      <w:r w:rsidRPr="0059526F">
        <w:rPr>
          <w:rFonts w:ascii="Garamond" w:eastAsia="Times New Roman" w:hAnsi="Garamond" w:cs="Times New Roman"/>
          <w:kern w:val="0"/>
          <w:sz w:val="24"/>
          <w:szCs w:val="24"/>
          <w:lang w:eastAsia="it-IT"/>
          <w14:ligatures w14:val="none"/>
        </w:rPr>
        <w:t xml:space="preserve"> fissata per la vendita </w:t>
      </w:r>
      <w:r w:rsidRPr="0059526F">
        <w:rPr>
          <w:rFonts w:ascii="Garamond" w:eastAsia="Times New Roman" w:hAnsi="Garamond" w:cs="Times New Roman"/>
          <w:b/>
          <w:bCs/>
          <w:kern w:val="0"/>
          <w:sz w:val="24"/>
          <w:szCs w:val="24"/>
          <w:lang w:eastAsia="it-IT"/>
          <w14:ligatures w14:val="none"/>
        </w:rPr>
        <w:t>personalmente, o a mezzo di procuratore legale – avvocato - munito di procura speciale autenticata notarile</w:t>
      </w:r>
      <w:r w:rsidRPr="0059526F">
        <w:rPr>
          <w:rFonts w:ascii="Garamond" w:eastAsia="Times New Roman" w:hAnsi="Garamond" w:cs="Times New Roman"/>
          <w:kern w:val="0"/>
          <w:sz w:val="24"/>
          <w:szCs w:val="24"/>
          <w:lang w:eastAsia="it-IT"/>
          <w14:ligatures w14:val="none"/>
        </w:rPr>
        <w:t xml:space="preserve">, anche per persona da nominare. </w:t>
      </w:r>
    </w:p>
    <w:p w14:paraId="75693C2E" w14:textId="334969B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 xml:space="preserve">In caso di offerta di acquisto quale </w:t>
      </w:r>
      <w:r w:rsidRPr="0059526F">
        <w:rPr>
          <w:rFonts w:ascii="Garamond" w:eastAsia="Times New Roman" w:hAnsi="Garamond" w:cs="Times New Roman"/>
          <w:b/>
          <w:bCs/>
          <w:color w:val="000000"/>
          <w:kern w:val="0"/>
          <w:sz w:val="24"/>
          <w:szCs w:val="24"/>
          <w:lang w:eastAsia="it-IT"/>
          <w14:ligatures w14:val="none"/>
        </w:rPr>
        <w:t>bene personale di persona coniugata in comunione legale</w:t>
      </w:r>
      <w:r w:rsidRPr="0059526F">
        <w:rPr>
          <w:rFonts w:ascii="Garamond" w:eastAsia="Times New Roman" w:hAnsi="Garamond" w:cs="Times New Roman"/>
          <w:color w:val="000000"/>
          <w:kern w:val="0"/>
          <w:sz w:val="24"/>
          <w:szCs w:val="24"/>
          <w:lang w:eastAsia="it-IT"/>
          <w14:ligatures w14:val="none"/>
        </w:rPr>
        <w:t xml:space="preserve">, l'offerta deve contenere espressa dichiarazione di acquisto come bene personale; la dichiarazione dell'altro coniuge ricognitiva della natura di bene personale può essere resa nell'offerta o in allegato alla stessa; o all'atto dell'eventuale aggiudicazione, alla quale pertanto l'altro coniuge dovrà essere presente, resa a verbale al professionista delegato; o infine con dichiarazione scritta resa nello studio del professionista delegato successivamente all'aggiudicazione, </w:t>
      </w:r>
      <w:r w:rsidR="009227AF" w:rsidRPr="0059526F">
        <w:rPr>
          <w:rFonts w:ascii="Garamond" w:eastAsia="Times New Roman" w:hAnsi="Garamond" w:cs="Times New Roman"/>
          <w:color w:val="000000"/>
          <w:kern w:val="0"/>
          <w:sz w:val="24"/>
          <w:szCs w:val="24"/>
          <w:lang w:eastAsia="it-IT"/>
          <w14:ligatures w14:val="none"/>
        </w:rPr>
        <w:t>purché</w:t>
      </w:r>
      <w:r w:rsidRPr="0059526F">
        <w:rPr>
          <w:rFonts w:ascii="Garamond" w:eastAsia="Times New Roman" w:hAnsi="Garamond" w:cs="Times New Roman"/>
          <w:color w:val="000000"/>
          <w:kern w:val="0"/>
          <w:sz w:val="24"/>
          <w:szCs w:val="24"/>
          <w:lang w:eastAsia="it-IT"/>
          <w14:ligatures w14:val="none"/>
        </w:rPr>
        <w:t xml:space="preserve"> prima del deposito del decreto di trasferimento;</w:t>
      </w:r>
    </w:p>
    <w:p w14:paraId="6136B64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 xml:space="preserve">In caso di </w:t>
      </w:r>
      <w:r w:rsidRPr="0059526F">
        <w:rPr>
          <w:rFonts w:ascii="Garamond" w:eastAsia="Times New Roman" w:hAnsi="Garamond" w:cs="Times New Roman"/>
          <w:b/>
          <w:bCs/>
          <w:color w:val="000000"/>
          <w:kern w:val="0"/>
          <w:sz w:val="24"/>
          <w:szCs w:val="24"/>
          <w:lang w:eastAsia="it-IT"/>
          <w14:ligatures w14:val="none"/>
        </w:rPr>
        <w:t>offerta congiunta</w:t>
      </w:r>
      <w:r w:rsidRPr="0059526F">
        <w:rPr>
          <w:rFonts w:ascii="Garamond" w:eastAsia="Times New Roman" w:hAnsi="Garamond" w:cs="Times New Roman"/>
          <w:color w:val="000000"/>
          <w:kern w:val="0"/>
          <w:sz w:val="24"/>
          <w:szCs w:val="24"/>
          <w:lang w:eastAsia="it-IT"/>
          <w14:ligatures w14:val="none"/>
        </w:rPr>
        <w:t>, in mancanza di indicazione delle quote da intestare a ciascun offerente, l'intestazione sarà di pari quota indivisa;</w:t>
      </w:r>
    </w:p>
    <w:p w14:paraId="0AFCC97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L'offerente deve partecipare,</w:t>
      </w:r>
      <w:r w:rsidRPr="0059526F">
        <w:rPr>
          <w:rFonts w:ascii="Garamond" w:eastAsia="Times New Roman" w:hAnsi="Garamond" w:cs="Times New Roman"/>
          <w:kern w:val="0"/>
          <w:sz w:val="24"/>
          <w:szCs w:val="24"/>
          <w:lang w:eastAsia="it-IT"/>
          <w14:ligatures w14:val="none"/>
        </w:rPr>
        <w:t xml:space="preserve"> personalmente o a mezzo del procuratore speciale, all'udienza fissata per la vendita; in mancanza, in presenza di unica offerta, si procederà ugualmente all'esame dell'offerta e, se valida, all'aggiudicazione; in caso di altre offerte, la mancata comparizione equivale a rinuncia a partecipare alla gara;</w:t>
      </w:r>
    </w:p>
    <w:p w14:paraId="1EC8DE9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Versamento della cauzione in caso di offerta telematica</w:t>
      </w:r>
    </w:p>
    <w:p w14:paraId="1B1078AA" w14:textId="0D529AA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Ciascun concorrente, per essere ammesso alla vendita telematica, deve comprovare l’avvenuta costituzione di una cauzione a garanzia dell’offerta di importo pari al 10% del prezzo offerto</w:t>
      </w:r>
      <w:r w:rsidR="009227AF" w:rsidRPr="0059526F">
        <w:rPr>
          <w:rFonts w:ascii="Garamond" w:eastAsia="Times New Roman" w:hAnsi="Garamond" w:cs="Times New Roman"/>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mediante versamento da effettuarsi tramite bonifico bancario sul conto corrente intestato alla procedura:</w:t>
      </w:r>
      <w:r w:rsidRPr="0059526F">
        <w:rPr>
          <w:rFonts w:ascii="Garamond" w:eastAsia="Times New Roman" w:hAnsi="Garamond" w:cs="Times New Roman"/>
          <w:b/>
          <w:bCs/>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 xml:space="preserve">Tribunale di Gorizia Esecuzione Imm. </w:t>
      </w:r>
      <w:r w:rsidRPr="0059526F">
        <w:rPr>
          <w:rFonts w:ascii="Garamond" w:eastAsia="Times New Roman" w:hAnsi="Garamond" w:cs="Times New Roman"/>
          <w:i/>
          <w:iCs/>
          <w:kern w:val="0"/>
          <w:sz w:val="24"/>
          <w:szCs w:val="24"/>
          <w:shd w:val="clear" w:color="auto" w:fill="FFFFFF"/>
          <w:lang w:eastAsia="it-IT"/>
          <w14:ligatures w14:val="none"/>
        </w:rPr>
        <w:t>N°/Anno</w:t>
      </w:r>
      <w:r w:rsidRPr="0059526F">
        <w:rPr>
          <w:rFonts w:ascii="Garamond" w:eastAsia="Times New Roman" w:hAnsi="Garamond" w:cs="Times New Roman"/>
          <w:kern w:val="0"/>
          <w:sz w:val="24"/>
          <w:szCs w:val="24"/>
          <w:shd w:val="clear" w:color="auto" w:fill="FFFFFF"/>
          <w:lang w:eastAsia="it-IT"/>
          <w14:ligatures w14:val="none"/>
        </w:rPr>
        <w:t xml:space="preserve">, IBAN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shd w:val="clear" w:color="auto" w:fill="FFFFFF"/>
          <w:lang w:eastAsia="it-IT"/>
          <w14:ligatures w14:val="none"/>
        </w:rPr>
        <w:t>, causale “versamento cauzione”</w:t>
      </w:r>
      <w:r w:rsidR="009227AF" w:rsidRPr="0059526F">
        <w:rPr>
          <w:rFonts w:ascii="Garamond" w:eastAsia="Times New Roman" w:hAnsi="Garamond" w:cs="Times New Roman"/>
          <w:kern w:val="0"/>
          <w:sz w:val="24"/>
          <w:szCs w:val="24"/>
          <w:shd w:val="clear" w:color="auto" w:fill="FFFFFF"/>
          <w:lang w:eastAsia="it-IT"/>
          <w14:ligatures w14:val="none"/>
        </w:rPr>
        <w:t>.</w:t>
      </w:r>
    </w:p>
    <w:p w14:paraId="61F1C681" w14:textId="3503FB7E"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 xml:space="preserve">Onde consentire il corretto accredito della cauzione sul suddetto conto il bonifico deve </w:t>
      </w:r>
      <w:r w:rsidRPr="0059526F">
        <w:rPr>
          <w:rFonts w:ascii="Garamond" w:eastAsia="Times New Roman" w:hAnsi="Garamond" w:cs="Times New Roman"/>
          <w:kern w:val="0"/>
          <w:sz w:val="24"/>
          <w:szCs w:val="24"/>
          <w:lang w:eastAsia="it-IT"/>
          <w14:ligatures w14:val="none"/>
        </w:rPr>
        <w:t>essere effettuato almeno tre giorni lavorativi prima del termine ultimo per la presentazione delle offerte. La cauzione si ritiene versata se l’importo risulta effettivamente accreditato sul conto corrente intestato alla procedura entro il termine per la presentazione dell'offerta. Il mancato accredito del bonifico sul conto e nel termine indicato è causa di esclusione dell’offerta ed è ad esclusivo carico e rischio dell’offerente. La copia della contabile del versamento deve essere allegata nella busta telematica contenente l’offerta. Dopo il termine della gara, i bonifici saranno restituiti, dedotto il bollo dovuto per legge ed al netto degli oneri bancari, a coloro che non siano aggiudicatari.</w:t>
      </w:r>
    </w:p>
    <w:p w14:paraId="5D11A7AC" w14:textId="43330658" w:rsidR="009227AF" w:rsidRPr="0059526F" w:rsidRDefault="009227AF"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In sede di presentazione di offerta telematica dovrà altresì essere pagata una marca da bollo del valore di 16,00 €, secondo le modalità telematiche indicate sul portale del Gestore della vendita telematica</w:t>
      </w:r>
      <w:r w:rsidR="00EF7143" w:rsidRPr="0059526F">
        <w:rPr>
          <w:rFonts w:ascii="Garamond" w:eastAsia="Times New Roman" w:hAnsi="Garamond" w:cs="Times New Roman"/>
          <w:kern w:val="0"/>
          <w:sz w:val="24"/>
          <w:szCs w:val="24"/>
          <w:lang w:eastAsia="it-IT"/>
          <w14:ligatures w14:val="none"/>
        </w:rPr>
        <w:t xml:space="preserve"> nel corso della procedura di presentazione dell’offerta</w:t>
      </w:r>
      <w:r w:rsidR="00C90B5D" w:rsidRPr="0059526F">
        <w:rPr>
          <w:rFonts w:ascii="Garamond" w:eastAsia="Times New Roman" w:hAnsi="Garamond" w:cs="Times New Roman"/>
          <w:kern w:val="0"/>
          <w:sz w:val="24"/>
          <w:szCs w:val="24"/>
          <w:lang w:eastAsia="it-IT"/>
          <w14:ligatures w14:val="none"/>
        </w:rPr>
        <w:t xml:space="preserve"> stessa</w:t>
      </w:r>
      <w:r w:rsidR="00EF7143" w:rsidRPr="0059526F">
        <w:rPr>
          <w:rFonts w:ascii="Garamond" w:eastAsia="Times New Roman" w:hAnsi="Garamond" w:cs="Times New Roman"/>
          <w:kern w:val="0"/>
          <w:sz w:val="24"/>
          <w:szCs w:val="24"/>
          <w:lang w:eastAsia="it-IT"/>
          <w14:ligatures w14:val="none"/>
        </w:rPr>
        <w:t>.</w:t>
      </w:r>
    </w:p>
    <w:p w14:paraId="13593E4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Assistenza in caso di offerta telematica</w:t>
      </w:r>
      <w:r w:rsidRPr="0059526F">
        <w:rPr>
          <w:rFonts w:ascii="Garamond" w:eastAsia="Times New Roman" w:hAnsi="Garamond" w:cs="Times New Roman"/>
          <w:kern w:val="0"/>
          <w:sz w:val="24"/>
          <w:szCs w:val="24"/>
          <w:lang w:eastAsia="it-IT"/>
          <w14:ligatures w14:val="none"/>
        </w:rPr>
        <w:t>. Per ogni eventuale necessità di assistenza l’utente può contattare il Gestore della vendita telematica ai recapiti indicati nel relativo portale.</w:t>
      </w:r>
    </w:p>
    <w:p w14:paraId="61B6BD1F" w14:textId="24046A1E"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lastRenderedPageBreak/>
        <w:t xml:space="preserve">Partecipazione alle operazioni di vendita in caso di offerta telematica. </w:t>
      </w:r>
      <w:r w:rsidRPr="0059526F">
        <w:rPr>
          <w:rFonts w:ascii="Garamond" w:eastAsia="Times New Roman" w:hAnsi="Garamond" w:cs="Times New Roman"/>
          <w:kern w:val="0"/>
          <w:sz w:val="24"/>
          <w:szCs w:val="24"/>
          <w:shd w:val="clear" w:color="auto" w:fill="FFFFFF"/>
          <w:lang w:eastAsia="it-IT"/>
          <w14:ligatures w14:val="none"/>
        </w:rPr>
        <w:t>Nelle tre ore precedenti, e comunque entro trenta minuti prima dell’inizio delle operazioni di vendita, il Gestore della vendita telematica invierà all’indirizzo di posta elettronica certificata indicato dall'offerente che ha trasmesso l'offerta in via telematica, le credenziali p</w:t>
      </w:r>
      <w:r w:rsidRPr="0059526F">
        <w:rPr>
          <w:rFonts w:ascii="Garamond" w:eastAsia="Times New Roman" w:hAnsi="Garamond" w:cs="Times New Roman"/>
          <w:kern w:val="0"/>
          <w:sz w:val="24"/>
          <w:szCs w:val="24"/>
          <w:lang w:eastAsia="it-IT"/>
          <w14:ligatures w14:val="none"/>
        </w:rPr>
        <w:t>er l’accesso al portale e un avviso a connettersi entro l’orario previsto per l’avvio delle operazioni di vendita.</w:t>
      </w:r>
    </w:p>
    <w:p w14:paraId="0C44CDB6" w14:textId="77777777" w:rsidR="0028652F" w:rsidRPr="0059526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3A824938" w14:textId="77777777" w:rsidR="00F34FE0"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48FFB740" w14:textId="77777777" w:rsidR="0028652F" w:rsidRPr="0059526F" w:rsidRDefault="0028652F" w:rsidP="0059526F">
      <w:pPr>
        <w:spacing w:after="0" w:line="360" w:lineRule="auto"/>
        <w:jc w:val="center"/>
        <w:rPr>
          <w:rFonts w:ascii="Garamond" w:eastAsia="Times New Roman" w:hAnsi="Garamond" w:cs="Times New Roman"/>
          <w:kern w:val="0"/>
          <w:sz w:val="24"/>
          <w:szCs w:val="24"/>
          <w:lang w:eastAsia="it-IT"/>
          <w14:ligatures w14:val="none"/>
        </w:rPr>
      </w:pPr>
    </w:p>
    <w:p w14:paraId="333FC5F5"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Apertura delle buste (cartacee e/o telematiche) e svolgimento della gara (modalità telematica sincrona mista).</w:t>
      </w:r>
    </w:p>
    <w:p w14:paraId="309A0EF6" w14:textId="77777777"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L’apertura delle buste, l'esame delle offerte e lo svolgimento della gara avvengono nella </w:t>
      </w:r>
      <w:r w:rsidRPr="0059526F">
        <w:rPr>
          <w:rFonts w:ascii="Garamond" w:eastAsia="Times New Roman" w:hAnsi="Garamond" w:cs="Times New Roman"/>
          <w:b/>
          <w:bCs/>
          <w:kern w:val="0"/>
          <w:sz w:val="24"/>
          <w:szCs w:val="24"/>
          <w:lang w:eastAsia="it-IT"/>
          <w14:ligatures w14:val="none"/>
        </w:rPr>
        <w:t>Sala Aste del Tribunale di Gorizia Via Nazario Sauro 1,</w:t>
      </w:r>
      <w:r w:rsidRPr="0059526F">
        <w:rPr>
          <w:rFonts w:ascii="Garamond" w:eastAsia="Times New Roman" w:hAnsi="Garamond" w:cs="Times New Roman"/>
          <w:kern w:val="0"/>
          <w:sz w:val="24"/>
          <w:szCs w:val="24"/>
          <w:lang w:eastAsia="it-IT"/>
          <w14:ligatures w14:val="none"/>
        </w:rPr>
        <w:t xml:space="preserve"> il giorno ed ora fissati nell'avviso di vendita. Gli offerenti che hanno formulato l’offerta in forma cartacea partecipano comparendo innanzi al professionista delegato nella Sala Aste del Tribunale di Gorizia; le buste presentate in forma cartacea sono aperte dal professionista delegato in presenza degli offerenti, riportate nel portale a cura del professionista e rese visibili a coloro che partecipano alle operazioni di vendita con modalità telematiche. Gli offerenti che hanno formulato l’offerta in via telematica partecipano collegandosi al portale del Gestore della vendita telematica e seguendo le indicazioni riportate nel “Manuale utente” disponibile all’interno del portale stesso; le buste presentate con modalità telematica sono aperte attraverso il portale e rese visibili agli offerenti presenti innanzi al delegato. L'offerente deve presentarsi alla udienza fissata per la vendita; in mancanza, in presenza di unica offerta, si procederà ugualmente all'esame dell'offerta e, se valida, all'aggiudicazione; in caso di altre offerte, la mancata comparizione equivale a rinuncia a partecipare alla gara.</w:t>
      </w:r>
    </w:p>
    <w:p w14:paraId="6CB66AD1" w14:textId="77777777" w:rsidR="0028652F" w:rsidRPr="0059526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213CCDBC"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1F03CF3B" w14:textId="77777777" w:rsidR="00BB23CC" w:rsidRPr="0059526F" w:rsidRDefault="00BB23CC" w:rsidP="0059526F">
      <w:pPr>
        <w:spacing w:after="0" w:line="360" w:lineRule="auto"/>
        <w:jc w:val="both"/>
        <w:rPr>
          <w:rFonts w:ascii="Garamond" w:eastAsia="Times New Roman" w:hAnsi="Garamond" w:cs="Times New Roman"/>
          <w:b/>
          <w:bCs/>
          <w:kern w:val="0"/>
          <w:sz w:val="24"/>
          <w:szCs w:val="24"/>
          <w:lang w:eastAsia="it-IT"/>
          <w14:ligatures w14:val="none"/>
        </w:rPr>
      </w:pPr>
    </w:p>
    <w:p w14:paraId="34AD5B05" w14:textId="3AC7D35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Svolgimento della gara in caso di più offerte (cartacee e/o telematiche). </w:t>
      </w:r>
    </w:p>
    <w:p w14:paraId="7989B1B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In caso di più offerte valide, si procederà con la gara tra gli offerenti, partendo come prezzo base per la gara dal valore dell’offerta più alta. Alla gara potranno partecipare tutti gli offerenti le cui offerte sono state dichiarate valide. La gara, che si svolgerà con modalità cosiddetta sincrona mista, avrà inizio al termine dell'apertura delle buste e dell’esame delle offerte. </w:t>
      </w:r>
    </w:p>
    <w:p w14:paraId="3273D70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L'importo </w:t>
      </w:r>
      <w:r w:rsidRPr="0059526F">
        <w:rPr>
          <w:rFonts w:ascii="Garamond" w:eastAsia="Times New Roman" w:hAnsi="Garamond" w:cs="Times New Roman"/>
          <w:b/>
          <w:bCs/>
          <w:kern w:val="0"/>
          <w:sz w:val="24"/>
          <w:szCs w:val="24"/>
          <w:lang w:eastAsia="it-IT"/>
          <w14:ligatures w14:val="none"/>
        </w:rPr>
        <w:t>minimo del rilancio</w:t>
      </w:r>
      <w:r w:rsidRPr="0059526F">
        <w:rPr>
          <w:rFonts w:ascii="Garamond" w:eastAsia="Times New Roman" w:hAnsi="Garamond" w:cs="Times New Roman"/>
          <w:kern w:val="0"/>
          <w:sz w:val="24"/>
          <w:szCs w:val="24"/>
          <w:lang w:eastAsia="it-IT"/>
          <w14:ligatures w14:val="none"/>
        </w:rPr>
        <w:t xml:space="preserve"> è indicato nel presente avviso.</w:t>
      </w:r>
    </w:p>
    <w:p w14:paraId="210E0DA1"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Tra un’offerta in rilancio ed una successiva potrà trascorrere </w:t>
      </w:r>
      <w:r w:rsidRPr="0059526F">
        <w:rPr>
          <w:rFonts w:ascii="Garamond" w:eastAsia="Times New Roman" w:hAnsi="Garamond" w:cs="Times New Roman"/>
          <w:b/>
          <w:bCs/>
          <w:kern w:val="0"/>
          <w:sz w:val="24"/>
          <w:szCs w:val="24"/>
          <w:lang w:eastAsia="it-IT"/>
          <w14:ligatures w14:val="none"/>
        </w:rPr>
        <w:t>un tempo massimo di 1 minuto</w:t>
      </w:r>
      <w:r w:rsidRPr="0059526F">
        <w:rPr>
          <w:rFonts w:ascii="Garamond" w:eastAsia="Times New Roman" w:hAnsi="Garamond" w:cs="Times New Roman"/>
          <w:kern w:val="0"/>
          <w:sz w:val="24"/>
          <w:szCs w:val="24"/>
          <w:lang w:eastAsia="it-IT"/>
          <w14:ligatures w14:val="none"/>
        </w:rPr>
        <w:t>.</w:t>
      </w:r>
    </w:p>
    <w:p w14:paraId="332D8F4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I rilanci effettuati dai partecipanti presenti innanzi al delegato saranno riportati nel portale a cura del professionista e resi visibili a coloro che partecipano alle operazioni di vendita con modalità telematiche. I rilanci effettuati dai partecipanti connessi al portale saranno resi visibili tramite il portale ai partecipanti presenti innanzi al delegato.</w:t>
      </w:r>
    </w:p>
    <w:p w14:paraId="75DECD6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La gara telematica sarà dichiarata conclusa quando sarà trascorso il tempo massimo previsto per i rilanci dal professionista delegato nell'avviso di vendita senza che vi siano state offerte migliorative rispetto all’ultima offerta valida. Il bene è aggiudicato all’offerente che ha effettuato l'ultimo rilancio più alto valido.</w:t>
      </w:r>
    </w:p>
    <w:p w14:paraId="7F7A686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Aggiudicazione e versamento del prezzo. </w:t>
      </w:r>
    </w:p>
    <w:p w14:paraId="1604AAB7"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bookmarkStart w:id="0" w:name="i05AC00004768-RICH-COD-5-LNK"/>
      <w:bookmarkStart w:id="1" w:name="i05AC00004768-RICH-COD-5"/>
      <w:bookmarkEnd w:id="0"/>
      <w:bookmarkEnd w:id="1"/>
      <w:r w:rsidRPr="0059526F">
        <w:rPr>
          <w:rFonts w:ascii="Garamond" w:eastAsia="Times New Roman" w:hAnsi="Garamond" w:cs="Times New Roman"/>
          <w:kern w:val="0"/>
          <w:sz w:val="24"/>
          <w:szCs w:val="24"/>
          <w:lang w:eastAsia="it-IT"/>
          <w14:ligatures w14:val="none"/>
        </w:rPr>
        <w:t xml:space="preserve">In caso di aggiudicazione, l’offerente è tenuto al versamento del saldo prezzo, oltre imposte e spese di trasferimento comunicate a cura del professionista delegato, entro e non oltre il termine e nel modo fissati dall'Ordinanza e dall'Avviso di vendita, ovvero </w:t>
      </w:r>
      <w:r w:rsidRPr="0059526F">
        <w:rPr>
          <w:rFonts w:ascii="Garamond" w:eastAsia="Times New Roman" w:hAnsi="Garamond" w:cs="Times New Roman"/>
          <w:b/>
          <w:bCs/>
          <w:kern w:val="0"/>
          <w:sz w:val="24"/>
          <w:szCs w:val="24"/>
          <w:lang w:eastAsia="it-IT"/>
          <w14:ligatures w14:val="none"/>
        </w:rPr>
        <w:t>entro e non oltre 60 giorni</w:t>
      </w:r>
      <w:r w:rsidRPr="0059526F">
        <w:rPr>
          <w:rFonts w:ascii="Garamond" w:eastAsia="Times New Roman" w:hAnsi="Garamond" w:cs="Times New Roman"/>
          <w:kern w:val="0"/>
          <w:sz w:val="24"/>
          <w:szCs w:val="24"/>
          <w:lang w:eastAsia="it-IT"/>
          <w14:ligatures w14:val="none"/>
        </w:rPr>
        <w:t xml:space="preserve"> dall'aggiudicazione, mediante assegno circolare non trasferibile intestato alla procedura o bonifico sul conto corrente intestato alla procedura, depositando l'originale dell'assegno nello studio del professionista delegato entro il predetto termine o trasmettendo al professionista delegato a mezzo di posta elettronica o analogica copia della contabile del bonifico eseguito, con valuta di accredito entro la predetta data. Il termine di versamento del saldo prezzo è perentorio, non è soggetto alla sospensione feriale di cui all'art. 1 della legge n.742/1969 (dal 01.08. al 31.08.), non è prorogabile.</w:t>
      </w:r>
    </w:p>
    <w:p w14:paraId="4C15D9DD"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Mancato versamento e revoca dell'aggiudicazione</w:t>
      </w:r>
      <w:r w:rsidRPr="0059526F">
        <w:rPr>
          <w:rFonts w:ascii="Garamond" w:eastAsia="Times New Roman" w:hAnsi="Garamond" w:cs="Times New Roman"/>
          <w:kern w:val="0"/>
          <w:sz w:val="24"/>
          <w:szCs w:val="24"/>
          <w:lang w:eastAsia="it-IT"/>
          <w14:ligatures w14:val="none"/>
        </w:rPr>
        <w:t>. In caso di inadempienza dell'aggiudicatario nel pagamento tempestivo ed integrale della somma dovuta a titolo di saldo prezzo nel termine stabilito nell'ordinanza e nell'avviso di vendita, il Giudice dell'esecuzione con decreto dichiara la decadenza dell'aggiudicatario, pronuncia la perdita della cauzione a titolo di multa e quindi dispone un nuovo incanto. Se il prezzo che se ne ricava, unito alla cauzione confiscata, risulta inferiore a quello dell'incanto precedente, l'aggiudicatario inadempiente è tenuto al pagamento della differenza (art. 587 c.p.c.)</w:t>
      </w:r>
      <w:r w:rsidRPr="0059526F">
        <w:rPr>
          <w:rFonts w:ascii="Garamond" w:eastAsia="Times New Roman" w:hAnsi="Garamond" w:cs="Times New Roman"/>
          <w:b/>
          <w:bCs/>
          <w:kern w:val="0"/>
          <w:sz w:val="24"/>
          <w:szCs w:val="24"/>
          <w:lang w:eastAsia="it-IT"/>
          <w14:ligatures w14:val="none"/>
        </w:rPr>
        <w:t>.</w:t>
      </w:r>
    </w:p>
    <w:p w14:paraId="7D53D3A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Versamento del saldo prezzo mediante mutuo e garanzia ipotecaria di primo grado.</w:t>
      </w:r>
      <w:r w:rsidRPr="0059526F">
        <w:rPr>
          <w:rFonts w:ascii="Garamond" w:eastAsia="Times New Roman" w:hAnsi="Garamond" w:cs="Times New Roman"/>
          <w:kern w:val="0"/>
          <w:sz w:val="24"/>
          <w:szCs w:val="24"/>
          <w:lang w:eastAsia="it-IT"/>
          <w14:ligatures w14:val="none"/>
        </w:rPr>
        <w:t xml:space="preserve"> </w:t>
      </w:r>
    </w:p>
    <w:p w14:paraId="13EB2B0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L’aggiudicatario può versare il saldo prezzo tramite mutuo ipotecario garantito da ipoteca di primo grado sull'immobile oggetto di vendita. Ai sensi dell'art. 585 c.p.c., se il versamento del prezzo avviene con l'erogazione a seguito di contratto di finanziamento che preveda il versamento diretto delle somme erogate in favore della procedura, e la garanzia ipotecaria di primo grado sul medesimo immobile oggetto di vendita, nel decreto di trasferimento deve essere indicato tale atto ed il Conservatore dei Registri Immobiliari non può eseguire la trascrizione del decreto se non unitamente all'iscrizione dell'ipoteca concessa dalla parte finanziata.</w:t>
      </w:r>
    </w:p>
    <w:p w14:paraId="0C3640D2" w14:textId="68E64F0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Trasferimento della proprietà e cancellazione dei gravami</w:t>
      </w:r>
      <w:r w:rsidRPr="0059526F">
        <w:rPr>
          <w:rFonts w:ascii="Garamond" w:eastAsia="Times New Roman" w:hAnsi="Garamond" w:cs="Times New Roman"/>
          <w:kern w:val="0"/>
          <w:sz w:val="24"/>
          <w:szCs w:val="24"/>
          <w:lang w:eastAsia="it-IT"/>
          <w14:ligatures w14:val="none"/>
        </w:rPr>
        <w:t>. Ai sensi dell'art.586 c.p.c., il Giudice dell'esecuzione, verificato il versamento del prezzo</w:t>
      </w:r>
      <w:r w:rsidR="00046998">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xml:space="preserve"> pronuncia il decreto di trasferimento, col quale </w:t>
      </w:r>
      <w:r w:rsidRPr="0059526F">
        <w:rPr>
          <w:rFonts w:ascii="Garamond" w:eastAsia="Times New Roman" w:hAnsi="Garamond" w:cs="Times New Roman"/>
          <w:kern w:val="0"/>
          <w:sz w:val="24"/>
          <w:szCs w:val="24"/>
          <w:lang w:eastAsia="it-IT"/>
          <w14:ligatures w14:val="none"/>
        </w:rPr>
        <w:lastRenderedPageBreak/>
        <w:t xml:space="preserve">trasferisce all'aggiudicatario il bene espropriato, e ordina la cancellazione delle trascrizioni dei pignoramenti e delle iscrizioni ipotecarie, anteriori e posteriori alla trascrizione del pignoramento. Esso costituisce titolo per la trascrizione della vendita sui libri fondiari. Il decreto di trasferimento della proprietà e di cancellazione dei gravami è intavolato a cura del professionista delegato alla vendita. Le imposte di cancellazione dei gravami sono a carico della massa, le spese d'intavolazione del decreto sono a carico dell'aggiudicatario, per l'intero, quanto alle anticipazioni, per la metà quanto al compenso, come previsto dal D.M.227/15 comma 7. Il decreto di trasferimento contiene l'ingiunzione di rilasciare l'immobile venduto e costituisce titolo esecutivo per il rilascio. </w:t>
      </w:r>
    </w:p>
    <w:p w14:paraId="1E7B4CC4" w14:textId="77777777" w:rsidR="00F34FE0"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p>
    <w:p w14:paraId="64E43006" w14:textId="77777777" w:rsidR="0028652F" w:rsidRPr="0059526F" w:rsidRDefault="0028652F" w:rsidP="0028652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6943B0D8" w14:textId="210F2DCA" w:rsidR="0028652F" w:rsidRPr="0059526F" w:rsidRDefault="008A696C" w:rsidP="0059526F">
      <w:pPr>
        <w:spacing w:after="0" w:line="360" w:lineRule="auto"/>
        <w:jc w:val="both"/>
        <w:rPr>
          <w:rFonts w:ascii="Garamond" w:eastAsia="Times New Roman" w:hAnsi="Garamond" w:cs="Times New Roman"/>
          <w:b/>
          <w:bCs/>
          <w:kern w:val="0"/>
          <w:sz w:val="24"/>
          <w:szCs w:val="24"/>
          <w:lang w:eastAsia="it-IT"/>
          <w14:ligatures w14:val="none"/>
        </w:rPr>
      </w:pPr>
      <w:r>
        <w:rPr>
          <w:rFonts w:ascii="Garamond" w:eastAsia="Times New Roman" w:hAnsi="Garamond" w:cs="Times New Roman"/>
          <w:b/>
          <w:bCs/>
          <w:kern w:val="0"/>
          <w:sz w:val="24"/>
          <w:szCs w:val="24"/>
          <w:lang w:eastAsia="it-IT"/>
          <w14:ligatures w14:val="none"/>
        </w:rPr>
        <w:t xml:space="preserve"> </w:t>
      </w:r>
    </w:p>
    <w:p w14:paraId="186168C5" w14:textId="55D96A2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Liberazione dell'immobile</w:t>
      </w:r>
      <w:r w:rsidR="003B5F15" w:rsidRPr="0059526F">
        <w:rPr>
          <w:rFonts w:ascii="Garamond" w:eastAsia="Times New Roman" w:hAnsi="Garamond" w:cs="Times New Roman"/>
          <w:kern w:val="0"/>
          <w:sz w:val="24"/>
          <w:szCs w:val="24"/>
          <w:lang w:eastAsia="it-IT"/>
          <w14:ligatures w14:val="none"/>
        </w:rPr>
        <w:t xml:space="preserve"> (a</w:t>
      </w:r>
      <w:r w:rsidR="00D61E4D" w:rsidRPr="0059526F">
        <w:rPr>
          <w:rFonts w:ascii="Garamond" w:eastAsia="Times New Roman" w:hAnsi="Garamond" w:cs="Times New Roman"/>
          <w:kern w:val="0"/>
          <w:sz w:val="24"/>
          <w:szCs w:val="24"/>
          <w:lang w:eastAsia="it-IT"/>
          <w14:ligatures w14:val="none"/>
        </w:rPr>
        <w:t>rt. 560 c.p.c.</w:t>
      </w:r>
      <w:r w:rsidR="003B5F15" w:rsidRPr="0059526F">
        <w:rPr>
          <w:rFonts w:ascii="Garamond" w:eastAsia="Times New Roman" w:hAnsi="Garamond" w:cs="Times New Roman"/>
          <w:kern w:val="0"/>
          <w:sz w:val="24"/>
          <w:szCs w:val="24"/>
          <w:lang w:eastAsia="it-IT"/>
          <w14:ligatures w14:val="none"/>
        </w:rPr>
        <w:t>)</w:t>
      </w:r>
    </w:p>
    <w:p w14:paraId="6BFD150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Giudice dell'esecuzione ordina la liberazione dell'immobile, quando non sia abitato dall'esecutato e dal suo nucleo familiare, oppure quando sia occupato da un soggetto terzo privo di titolo opponibile alla procedura, non oltre la pronuncia dell'Ordinanza con cui è autorizzata la vendita o sono delegate le relative operazioni. </w:t>
      </w:r>
    </w:p>
    <w:p w14:paraId="671D5223" w14:textId="147555FD"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Quando l'immobile è occupato dal debitore intestatario del diritto espropriato e dal suo nucleo familiare, il Giudice dell'esecuzione </w:t>
      </w:r>
      <w:r w:rsidR="00D927FB">
        <w:rPr>
          <w:rFonts w:ascii="Garamond" w:eastAsia="Times New Roman" w:hAnsi="Garamond" w:cs="Times New Roman"/>
          <w:kern w:val="0"/>
          <w:sz w:val="24"/>
          <w:szCs w:val="24"/>
          <w:lang w:eastAsia="it-IT"/>
          <w14:ligatures w14:val="none"/>
        </w:rPr>
        <w:t>ingiunge il rilascio dell’immobile con l’emissione del decreto di trasferimento</w:t>
      </w:r>
      <w:r w:rsidR="00C63318">
        <w:rPr>
          <w:rFonts w:ascii="Garamond" w:eastAsia="Times New Roman" w:hAnsi="Garamond" w:cs="Times New Roman"/>
          <w:kern w:val="0"/>
          <w:sz w:val="24"/>
          <w:szCs w:val="24"/>
          <w:lang w:eastAsia="it-IT"/>
          <w14:ligatures w14:val="none"/>
        </w:rPr>
        <w:t>.</w:t>
      </w:r>
      <w:r w:rsidR="00D927FB">
        <w:rPr>
          <w:rFonts w:ascii="Garamond" w:eastAsia="Times New Roman" w:hAnsi="Garamond" w:cs="Times New Roman"/>
          <w:kern w:val="0"/>
          <w:sz w:val="24"/>
          <w:szCs w:val="24"/>
          <w:lang w:eastAsia="it-IT"/>
          <w14:ligatures w14:val="none"/>
        </w:rPr>
        <w:t xml:space="preserve"> </w:t>
      </w:r>
    </w:p>
    <w:p w14:paraId="6AE4EE64" w14:textId="05A169A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debitore e i familiari </w:t>
      </w:r>
      <w:r w:rsidR="00C63318" w:rsidRPr="0059526F">
        <w:rPr>
          <w:rFonts w:ascii="Garamond" w:eastAsia="Times New Roman" w:hAnsi="Garamond" w:cs="Times New Roman"/>
          <w:kern w:val="0"/>
          <w:sz w:val="24"/>
          <w:szCs w:val="24"/>
          <w:lang w:eastAsia="it-IT"/>
          <w14:ligatures w14:val="none"/>
        </w:rPr>
        <w:t>che con lui convivono</w:t>
      </w:r>
      <w:r w:rsidRPr="0059526F">
        <w:rPr>
          <w:rFonts w:ascii="Garamond" w:eastAsia="Times New Roman" w:hAnsi="Garamond" w:cs="Times New Roman"/>
          <w:kern w:val="0"/>
          <w:sz w:val="24"/>
          <w:szCs w:val="24"/>
          <w:lang w:eastAsia="it-IT"/>
          <w14:ligatures w14:val="none"/>
        </w:rPr>
        <w:t xml:space="preserve"> non perdono il possesso dell'immobile e delle sue pertinenze sino alla pronuncia del decreto di trasferimento, salvo quanto previsto dall'art. 560 </w:t>
      </w:r>
      <w:r w:rsidR="00BA2B6D">
        <w:rPr>
          <w:rFonts w:ascii="Garamond" w:eastAsia="Times New Roman" w:hAnsi="Garamond" w:cs="Times New Roman"/>
          <w:kern w:val="0"/>
          <w:sz w:val="24"/>
          <w:szCs w:val="24"/>
          <w:lang w:eastAsia="it-IT"/>
          <w14:ligatures w14:val="none"/>
        </w:rPr>
        <w:t>sesto</w:t>
      </w:r>
      <w:r w:rsidRPr="0059526F">
        <w:rPr>
          <w:rFonts w:ascii="Garamond" w:eastAsia="Times New Roman" w:hAnsi="Garamond" w:cs="Times New Roman"/>
          <w:kern w:val="0"/>
          <w:sz w:val="24"/>
          <w:szCs w:val="24"/>
          <w:lang w:eastAsia="it-IT"/>
          <w14:ligatures w14:val="none"/>
        </w:rPr>
        <w:t xml:space="preserve"> comma c.p.c., nel qual caso il Giudice dell'esecuzione, </w:t>
      </w:r>
      <w:r w:rsidR="003D4F79">
        <w:rPr>
          <w:rFonts w:ascii="Garamond" w:eastAsia="Times New Roman" w:hAnsi="Garamond" w:cs="Times New Roman"/>
          <w:kern w:val="0"/>
          <w:sz w:val="24"/>
          <w:szCs w:val="24"/>
          <w:lang w:eastAsia="it-IT"/>
          <w14:ligatures w14:val="none"/>
        </w:rPr>
        <w:t>sentiti il custode e il debitore</w:t>
      </w:r>
      <w:r w:rsidRPr="0059526F">
        <w:rPr>
          <w:rFonts w:ascii="Garamond" w:eastAsia="Times New Roman" w:hAnsi="Garamond" w:cs="Times New Roman"/>
          <w:kern w:val="0"/>
          <w:sz w:val="24"/>
          <w:szCs w:val="24"/>
          <w:lang w:eastAsia="it-IT"/>
          <w14:ligatures w14:val="none"/>
        </w:rPr>
        <w:t xml:space="preserve">, ordina la liberazione dell'immobile. </w:t>
      </w:r>
    </w:p>
    <w:p w14:paraId="6B9A5ED2" w14:textId="101F7D5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L'ordine di liberazione è attuato dal Custode giudiziario, che è anche professionista delegato alla vendita, secondo le disposizioni del Giudice dell'esecuzione, senza l'osservanza delle formalità previste per l'esecuzione forzata per rilascio di cui agli articoli 605 e seguenti c.p.c., anche successivamente alla pronuncia del decreto di trasferimento, nell'interesse e senza spese a carico dell'aggiudicatario o dell'assegnatario, </w:t>
      </w:r>
      <w:r w:rsidR="00C63318">
        <w:rPr>
          <w:rFonts w:ascii="Garamond" w:eastAsia="Times New Roman" w:hAnsi="Garamond" w:cs="Times New Roman"/>
          <w:kern w:val="0"/>
          <w:sz w:val="24"/>
          <w:szCs w:val="24"/>
          <w:lang w:eastAsia="it-IT"/>
          <w14:ligatures w14:val="none"/>
        </w:rPr>
        <w:t>se richiesto dall’aggiudicatario o dall’assegnatario</w:t>
      </w:r>
      <w:r w:rsidR="0034696F">
        <w:rPr>
          <w:rFonts w:ascii="Garamond" w:eastAsia="Times New Roman" w:hAnsi="Garamond" w:cs="Times New Roman"/>
          <w:kern w:val="0"/>
          <w:sz w:val="24"/>
          <w:szCs w:val="24"/>
          <w:lang w:eastAsia="it-IT"/>
          <w14:ligatures w14:val="none"/>
        </w:rPr>
        <w:t xml:space="preserve"> ai sensi dell’art. 560, co. 6 c.p.c.</w:t>
      </w:r>
      <w:r w:rsidRPr="0059526F">
        <w:rPr>
          <w:rFonts w:ascii="Garamond" w:eastAsia="Times New Roman" w:hAnsi="Garamond" w:cs="Times New Roman"/>
          <w:kern w:val="0"/>
          <w:sz w:val="24"/>
          <w:szCs w:val="24"/>
          <w:lang w:eastAsia="it-IT"/>
          <w14:ligatures w14:val="none"/>
        </w:rPr>
        <w:t xml:space="preserve">. </w:t>
      </w:r>
    </w:p>
    <w:p w14:paraId="1C349F1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 proprietà del bene ed i conseguenti diritti e oneri sono, rispettivamente, a favore ed a carico dell’aggiudicatario, dalla data di emissione del decreto di trasferimento, a seguito del versamento del saldo prezzo, degli oneri tributari e delle spese di vendita. </w:t>
      </w:r>
    </w:p>
    <w:p w14:paraId="29C8187D"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 vendita avviene nello stato di fatto e di diritto in cui il bene si trova; la vendita è a corpo e non a misura; eventuali differenze di misura non potranno dar luogo ad alcun risarcimento, indennità o riduzione del prezzo; la vendita forzata non è soggetta alle norme concernenti la garanzia per vizi o mancanza di qualità; l’esistenza di eventuali vizi, mancanza di qualità o difformità della cosa venduta, </w:t>
      </w:r>
      <w:r w:rsidRPr="0059526F">
        <w:rPr>
          <w:rFonts w:ascii="Garamond" w:eastAsia="Times New Roman" w:hAnsi="Garamond" w:cs="Times New Roman"/>
          <w:kern w:val="0"/>
          <w:sz w:val="24"/>
          <w:szCs w:val="24"/>
          <w:lang w:eastAsia="it-IT"/>
          <w14:ligatures w14:val="none"/>
        </w:rPr>
        <w:lastRenderedPageBreak/>
        <w:t xml:space="preserve">oneri di qualsiasi genere, non potranno dar luogo ad alcun risarcimento, indennità o riduzione del prezzo, essendosi di ciò tenuto conto nella valutazione dei beni. </w:t>
      </w:r>
    </w:p>
    <w:p w14:paraId="7C6032CC" w14:textId="77777777"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Non è possibile intestare l'immobile a soggetto diverso da quello che sottoscrive l'offerta, né trasferire un diritto totalmente o parzialmente diverso da quello posto in vendita.</w:t>
      </w:r>
    </w:p>
    <w:p w14:paraId="154C0BAA" w14:textId="77777777" w:rsidR="008A696C" w:rsidRPr="0059526F" w:rsidRDefault="008A696C" w:rsidP="0059526F">
      <w:pPr>
        <w:spacing w:after="0" w:line="360" w:lineRule="auto"/>
        <w:jc w:val="both"/>
        <w:rPr>
          <w:rFonts w:ascii="Garamond" w:eastAsia="Times New Roman" w:hAnsi="Garamond" w:cs="Times New Roman"/>
          <w:kern w:val="0"/>
          <w:sz w:val="24"/>
          <w:szCs w:val="24"/>
          <w:lang w:eastAsia="it-IT"/>
          <w14:ligatures w14:val="none"/>
        </w:rPr>
      </w:pPr>
    </w:p>
    <w:p w14:paraId="5E5C6C02" w14:textId="77777777" w:rsidR="008A696C" w:rsidRPr="0059526F" w:rsidRDefault="008A696C" w:rsidP="008A696C">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37E28406" w14:textId="77777777" w:rsidR="008A696C" w:rsidRDefault="008A696C" w:rsidP="0059526F">
      <w:pPr>
        <w:spacing w:after="0" w:line="360" w:lineRule="auto"/>
        <w:jc w:val="both"/>
        <w:rPr>
          <w:rFonts w:ascii="Garamond" w:eastAsia="Times New Roman" w:hAnsi="Garamond" w:cs="Times New Roman"/>
          <w:b/>
          <w:bCs/>
          <w:kern w:val="0"/>
          <w:sz w:val="24"/>
          <w:szCs w:val="24"/>
          <w:lang w:eastAsia="it-IT"/>
          <w14:ligatures w14:val="none"/>
        </w:rPr>
      </w:pPr>
    </w:p>
    <w:p w14:paraId="64D79A6C" w14:textId="2168431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Spese di trasferimento a carico dell'aggiudicatario</w:t>
      </w:r>
      <w:r w:rsidRPr="0059526F">
        <w:rPr>
          <w:rFonts w:ascii="Garamond" w:eastAsia="Times New Roman" w:hAnsi="Garamond" w:cs="Times New Roman"/>
          <w:kern w:val="0"/>
          <w:sz w:val="24"/>
          <w:szCs w:val="24"/>
          <w:lang w:eastAsia="it-IT"/>
          <w14:ligatures w14:val="none"/>
        </w:rPr>
        <w:t xml:space="preserve">. </w:t>
      </w:r>
    </w:p>
    <w:p w14:paraId="1189AF94" w14:textId="7B3CC17C"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Ai sensi dell'art. 2, comma 7, del D.M.227/2015, è a carico dell'aggiudicatario il pagamento della metà del compenso del professionista delegato relativo alla fase di trasferimento, in cui sono incluse le attività di registrazione, intavolazione e voltura catastale del decreto di trasferimento, oltre spese tavolari e catastali e accessori di legge (rimborso forfettario spese generali nella misura del 10%, Cassa previdenza e I.V.A. nella misura di legge). Il compenso è liquidato dal Giudice tenendo conto dei parametri previsti dall'art. 2 comma 1 del decreto.</w:t>
      </w:r>
    </w:p>
    <w:p w14:paraId="7B4D2739" w14:textId="77777777" w:rsidR="008A696C" w:rsidRPr="0059526F" w:rsidRDefault="008A696C" w:rsidP="008A696C">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1324869E" w14:textId="01D5094B" w:rsidR="008A696C" w:rsidRPr="0059526F" w:rsidRDefault="008A696C" w:rsidP="0059526F">
      <w:pPr>
        <w:spacing w:after="0" w:line="360" w:lineRule="auto"/>
        <w:jc w:val="both"/>
        <w:rPr>
          <w:rFonts w:ascii="Garamond" w:eastAsia="Times New Roman" w:hAnsi="Garamond" w:cs="Times New Roman"/>
          <w:kern w:val="0"/>
          <w:sz w:val="24"/>
          <w:szCs w:val="24"/>
          <w:lang w:eastAsia="it-IT"/>
          <w14:ligatures w14:val="none"/>
        </w:rPr>
      </w:pPr>
      <w:r>
        <w:rPr>
          <w:rFonts w:ascii="Garamond" w:eastAsia="Times New Roman" w:hAnsi="Garamond" w:cs="Times New Roman"/>
          <w:kern w:val="0"/>
          <w:sz w:val="24"/>
          <w:szCs w:val="24"/>
          <w:lang w:eastAsia="it-IT"/>
          <w14:ligatures w14:val="none"/>
        </w:rPr>
        <w:t xml:space="preserve"> </w:t>
      </w:r>
    </w:p>
    <w:p w14:paraId="041417C5" w14:textId="77777777" w:rsidR="00F34FE0" w:rsidRPr="0059526F"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Versamento al creditore fondiario. </w:t>
      </w:r>
    </w:p>
    <w:p w14:paraId="6A2170CB" w14:textId="3E4BFC1F"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Qualora si tratti di procedura esecutiva individuale e tra i creditori vi sia un Istituto di Credito Fondiario, parte del prezzo – che sarà indicata all'aggiudicatario dal professionista delegato secondo le direttive del Giudice dell'esecuzione - corrispondente al credito dell’Istituto predetto per capitale, accessori e spese, sarà versata dall'aggiudicatario direttamente al creditore fondiario, salva la facoltà per l’aggiudicatario di subentrare nel contratto di finanziamento stipulato dal debitore esecutato, ai sensi dell'art. 41, V comma, D.Lgs. 385/93. </w:t>
      </w:r>
    </w:p>
    <w:p w14:paraId="1FF1062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Per tutto quanto non previsto, si applicano le vigenti norme di legge.</w:t>
      </w:r>
    </w:p>
    <w:p w14:paraId="2B08877C" w14:textId="77777777"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Luogo e data</w:t>
      </w:r>
    </w:p>
    <w:p w14:paraId="0142747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Il professionista delegato</w:t>
      </w:r>
    </w:p>
    <w:p w14:paraId="6D7BD472" w14:textId="6AF939E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avv.</w:t>
      </w:r>
      <w:r w:rsidR="00696F8E"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/dott.</w:t>
      </w:r>
      <w:r w:rsidR="00696F8E" w:rsidRPr="0059526F">
        <w:rPr>
          <w:rFonts w:ascii="Garamond" w:eastAsia="Times New Roman" w:hAnsi="Garamond" w:cs="Times New Roman"/>
          <w:kern w:val="0"/>
          <w:sz w:val="24"/>
          <w:szCs w:val="24"/>
          <w:lang w:eastAsia="it-IT"/>
          <w14:ligatures w14:val="none"/>
        </w:rPr>
        <w:t xml:space="preserve"> …</w:t>
      </w:r>
    </w:p>
    <w:p w14:paraId="535E2506" w14:textId="77777777" w:rsidR="004119FC" w:rsidRPr="0059526F" w:rsidRDefault="004119FC" w:rsidP="0059526F">
      <w:pPr>
        <w:spacing w:after="0" w:line="360" w:lineRule="auto"/>
        <w:jc w:val="both"/>
        <w:rPr>
          <w:rFonts w:ascii="Garamond" w:hAnsi="Garamond"/>
          <w:sz w:val="24"/>
          <w:szCs w:val="24"/>
        </w:rPr>
      </w:pPr>
    </w:p>
    <w:sectPr w:rsidR="004119FC" w:rsidRPr="0059526F">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401F" w14:textId="77777777" w:rsidR="00830F10" w:rsidRDefault="00830F10" w:rsidP="005021EC">
      <w:pPr>
        <w:spacing w:after="0" w:line="240" w:lineRule="auto"/>
      </w:pPr>
      <w:r>
        <w:separator/>
      </w:r>
    </w:p>
  </w:endnote>
  <w:endnote w:type="continuationSeparator" w:id="0">
    <w:p w14:paraId="7E54EDA0" w14:textId="77777777" w:rsidR="00830F10" w:rsidRDefault="00830F10" w:rsidP="0050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21D5" w14:textId="77777777" w:rsidR="005021EC" w:rsidRDefault="005021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65"/>
      <w:docPartObj>
        <w:docPartGallery w:val="Page Numbers (Bottom of Page)"/>
        <w:docPartUnique/>
      </w:docPartObj>
    </w:sdtPr>
    <w:sdtEndPr/>
    <w:sdtContent>
      <w:p w14:paraId="6B992184" w14:textId="77777777" w:rsidR="005021EC" w:rsidRDefault="005021EC">
        <w:pPr>
          <w:pStyle w:val="Pidipagina"/>
          <w:jc w:val="center"/>
        </w:pPr>
      </w:p>
      <w:p w14:paraId="5CAB65DA" w14:textId="64A36651" w:rsidR="005021EC" w:rsidRDefault="005021EC">
        <w:pPr>
          <w:pStyle w:val="Pidipagina"/>
          <w:jc w:val="center"/>
        </w:pPr>
        <w:r>
          <w:fldChar w:fldCharType="begin"/>
        </w:r>
        <w:r>
          <w:instrText>PAGE   \* MERGEFORMAT</w:instrText>
        </w:r>
        <w:r>
          <w:fldChar w:fldCharType="separate"/>
        </w:r>
        <w:r>
          <w:t>2</w:t>
        </w:r>
        <w:r>
          <w:fldChar w:fldCharType="end"/>
        </w:r>
      </w:p>
    </w:sdtContent>
  </w:sdt>
  <w:p w14:paraId="6248454B" w14:textId="77777777" w:rsidR="005021EC" w:rsidRDefault="005021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DDC4" w14:textId="77777777" w:rsidR="005021EC" w:rsidRDefault="00502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CD67" w14:textId="77777777" w:rsidR="00830F10" w:rsidRDefault="00830F10" w:rsidP="005021EC">
      <w:pPr>
        <w:spacing w:after="0" w:line="240" w:lineRule="auto"/>
      </w:pPr>
      <w:r>
        <w:separator/>
      </w:r>
    </w:p>
  </w:footnote>
  <w:footnote w:type="continuationSeparator" w:id="0">
    <w:p w14:paraId="6CB4FCC8" w14:textId="77777777" w:rsidR="00830F10" w:rsidRDefault="00830F10" w:rsidP="0050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415" w14:textId="77777777" w:rsidR="005021EC" w:rsidRDefault="005021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6F2" w14:textId="77777777" w:rsidR="005021EC" w:rsidRDefault="005021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77" w14:textId="77777777" w:rsidR="005021EC" w:rsidRDefault="005021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B8"/>
    <w:multiLevelType w:val="multilevel"/>
    <w:tmpl w:val="2B08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1311B"/>
    <w:multiLevelType w:val="multilevel"/>
    <w:tmpl w:val="0D2E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1751"/>
    <w:multiLevelType w:val="multilevel"/>
    <w:tmpl w:val="598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A469D"/>
    <w:multiLevelType w:val="multilevel"/>
    <w:tmpl w:val="553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134B3"/>
    <w:multiLevelType w:val="multilevel"/>
    <w:tmpl w:val="CE7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249BF"/>
    <w:multiLevelType w:val="multilevel"/>
    <w:tmpl w:val="E8E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14806"/>
    <w:multiLevelType w:val="multilevel"/>
    <w:tmpl w:val="AA30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AC22FC"/>
    <w:multiLevelType w:val="multilevel"/>
    <w:tmpl w:val="CF02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05855"/>
    <w:multiLevelType w:val="multilevel"/>
    <w:tmpl w:val="F4F03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C70F6"/>
    <w:multiLevelType w:val="multilevel"/>
    <w:tmpl w:val="9C0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7132D"/>
    <w:multiLevelType w:val="multilevel"/>
    <w:tmpl w:val="B7DCE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9667D"/>
    <w:multiLevelType w:val="multilevel"/>
    <w:tmpl w:val="0DAE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A4AC1"/>
    <w:multiLevelType w:val="multilevel"/>
    <w:tmpl w:val="3368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52CE0"/>
    <w:multiLevelType w:val="multilevel"/>
    <w:tmpl w:val="86CE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85A8D"/>
    <w:multiLevelType w:val="multilevel"/>
    <w:tmpl w:val="2F645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0A73B0"/>
    <w:multiLevelType w:val="multilevel"/>
    <w:tmpl w:val="C98C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615538">
    <w:abstractNumId w:val="1"/>
  </w:num>
  <w:num w:numId="2" w16cid:durableId="169611616">
    <w:abstractNumId w:val="10"/>
  </w:num>
  <w:num w:numId="3" w16cid:durableId="899024570">
    <w:abstractNumId w:val="2"/>
  </w:num>
  <w:num w:numId="4" w16cid:durableId="893083478">
    <w:abstractNumId w:val="14"/>
  </w:num>
  <w:num w:numId="5" w16cid:durableId="666519198">
    <w:abstractNumId w:val="5"/>
  </w:num>
  <w:num w:numId="6" w16cid:durableId="1354569848">
    <w:abstractNumId w:val="13"/>
  </w:num>
  <w:num w:numId="7" w16cid:durableId="1857039996">
    <w:abstractNumId w:val="6"/>
  </w:num>
  <w:num w:numId="8" w16cid:durableId="2119252812">
    <w:abstractNumId w:val="3"/>
  </w:num>
  <w:num w:numId="9" w16cid:durableId="159195128">
    <w:abstractNumId w:val="7"/>
  </w:num>
  <w:num w:numId="10" w16cid:durableId="728302520">
    <w:abstractNumId w:val="0"/>
  </w:num>
  <w:num w:numId="11" w16cid:durableId="1779179493">
    <w:abstractNumId w:val="4"/>
  </w:num>
  <w:num w:numId="12" w16cid:durableId="1577739548">
    <w:abstractNumId w:val="12"/>
  </w:num>
  <w:num w:numId="13" w16cid:durableId="618073046">
    <w:abstractNumId w:val="15"/>
  </w:num>
  <w:num w:numId="14" w16cid:durableId="869486657">
    <w:abstractNumId w:val="11"/>
  </w:num>
  <w:num w:numId="15" w16cid:durableId="343285599">
    <w:abstractNumId w:val="8"/>
  </w:num>
  <w:num w:numId="16" w16cid:durableId="827358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A2"/>
    <w:rsid w:val="00007DB6"/>
    <w:rsid w:val="00046998"/>
    <w:rsid w:val="00046EC3"/>
    <w:rsid w:val="0008479D"/>
    <w:rsid w:val="000A57A3"/>
    <w:rsid w:val="000C6D0A"/>
    <w:rsid w:val="001251F9"/>
    <w:rsid w:val="001879E9"/>
    <w:rsid w:val="001F2F01"/>
    <w:rsid w:val="00237462"/>
    <w:rsid w:val="0028652F"/>
    <w:rsid w:val="002C2789"/>
    <w:rsid w:val="003437D8"/>
    <w:rsid w:val="0034696F"/>
    <w:rsid w:val="003603D9"/>
    <w:rsid w:val="003B5915"/>
    <w:rsid w:val="003B5F15"/>
    <w:rsid w:val="003D4F79"/>
    <w:rsid w:val="004119FC"/>
    <w:rsid w:val="004623ED"/>
    <w:rsid w:val="004E40DA"/>
    <w:rsid w:val="005021EC"/>
    <w:rsid w:val="00511D17"/>
    <w:rsid w:val="005366C6"/>
    <w:rsid w:val="005716E9"/>
    <w:rsid w:val="0059526F"/>
    <w:rsid w:val="005E1C79"/>
    <w:rsid w:val="005E3F15"/>
    <w:rsid w:val="005F067B"/>
    <w:rsid w:val="00652C69"/>
    <w:rsid w:val="00667112"/>
    <w:rsid w:val="00696F8E"/>
    <w:rsid w:val="006D0C74"/>
    <w:rsid w:val="0074084D"/>
    <w:rsid w:val="007446E7"/>
    <w:rsid w:val="00750673"/>
    <w:rsid w:val="007D2613"/>
    <w:rsid w:val="007D4C18"/>
    <w:rsid w:val="00807673"/>
    <w:rsid w:val="00830F10"/>
    <w:rsid w:val="00861547"/>
    <w:rsid w:val="008670B1"/>
    <w:rsid w:val="00867274"/>
    <w:rsid w:val="008677F6"/>
    <w:rsid w:val="008A696C"/>
    <w:rsid w:val="008E3350"/>
    <w:rsid w:val="00914774"/>
    <w:rsid w:val="00921FDD"/>
    <w:rsid w:val="009227AF"/>
    <w:rsid w:val="00940CCF"/>
    <w:rsid w:val="00963597"/>
    <w:rsid w:val="009B5EA2"/>
    <w:rsid w:val="009F23F6"/>
    <w:rsid w:val="00A11A12"/>
    <w:rsid w:val="00A26684"/>
    <w:rsid w:val="00A91C20"/>
    <w:rsid w:val="00AA4D6C"/>
    <w:rsid w:val="00AF033F"/>
    <w:rsid w:val="00B0791F"/>
    <w:rsid w:val="00B15DAF"/>
    <w:rsid w:val="00B27625"/>
    <w:rsid w:val="00B33BAE"/>
    <w:rsid w:val="00B358E5"/>
    <w:rsid w:val="00B97636"/>
    <w:rsid w:val="00BA2B6D"/>
    <w:rsid w:val="00BA720A"/>
    <w:rsid w:val="00BB23CC"/>
    <w:rsid w:val="00BE0DA2"/>
    <w:rsid w:val="00C63318"/>
    <w:rsid w:val="00C85176"/>
    <w:rsid w:val="00C90B5D"/>
    <w:rsid w:val="00CC349F"/>
    <w:rsid w:val="00D61E4D"/>
    <w:rsid w:val="00D66608"/>
    <w:rsid w:val="00D67D55"/>
    <w:rsid w:val="00D74AE9"/>
    <w:rsid w:val="00D755DA"/>
    <w:rsid w:val="00D927FB"/>
    <w:rsid w:val="00DA1A36"/>
    <w:rsid w:val="00DB3FAA"/>
    <w:rsid w:val="00DB40D0"/>
    <w:rsid w:val="00E60145"/>
    <w:rsid w:val="00ED02D7"/>
    <w:rsid w:val="00EF7143"/>
    <w:rsid w:val="00F34FE0"/>
    <w:rsid w:val="00F721BE"/>
    <w:rsid w:val="00F854F5"/>
    <w:rsid w:val="00FA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5985"/>
  <w15:chartTrackingRefBased/>
  <w15:docId w15:val="{2A0CBEC9-C526-4B33-8F19-6E789602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20A"/>
    <w:rPr>
      <w:color w:val="0000FF"/>
      <w:u w:val="single"/>
    </w:rPr>
  </w:style>
  <w:style w:type="paragraph" w:styleId="NormaleWeb">
    <w:name w:val="Normal (Web)"/>
    <w:basedOn w:val="Normale"/>
    <w:uiPriority w:val="99"/>
    <w:semiHidden/>
    <w:unhideWhenUsed/>
    <w:rsid w:val="00BA720A"/>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1F2F01"/>
    <w:rPr>
      <w:color w:val="605E5C"/>
      <w:shd w:val="clear" w:color="auto" w:fill="E1DFDD"/>
    </w:rPr>
  </w:style>
  <w:style w:type="paragraph" w:styleId="Intestazione">
    <w:name w:val="header"/>
    <w:basedOn w:val="Normale"/>
    <w:link w:val="IntestazioneCarattere"/>
    <w:uiPriority w:val="99"/>
    <w:unhideWhenUsed/>
    <w:rsid w:val="005021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1EC"/>
  </w:style>
  <w:style w:type="paragraph" w:styleId="Pidipagina">
    <w:name w:val="footer"/>
    <w:basedOn w:val="Normale"/>
    <w:link w:val="PidipaginaCarattere"/>
    <w:uiPriority w:val="99"/>
    <w:unhideWhenUsed/>
    <w:rsid w:val="005021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908885165">
      <w:bodyDiv w:val="1"/>
      <w:marLeft w:val="0"/>
      <w:marRight w:val="0"/>
      <w:marTop w:val="0"/>
      <w:marBottom w:val="0"/>
      <w:divBdr>
        <w:top w:val="none" w:sz="0" w:space="0" w:color="auto"/>
        <w:left w:val="none" w:sz="0" w:space="0" w:color="auto"/>
        <w:bottom w:val="none" w:sz="0" w:space="0" w:color="auto"/>
        <w:right w:val="none" w:sz="0" w:space="0" w:color="auto"/>
      </w:divBdr>
    </w:div>
    <w:div w:id="11206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portaleast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pazioaste.it/" TargetMode="External"/><Relationship Id="rId12" Type="http://schemas.openxmlformats.org/officeDocument/2006/relationships/hyperlink" Target="http://www.asteimmobili.it/" TargetMode="External"/><Relationship Id="rId17" Type="http://schemas.openxmlformats.org/officeDocument/2006/relationships/hyperlink" Target="http://www.astetelematich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azioast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tietribunali.it/" TargetMode="External"/><Relationship Id="rId23" Type="http://schemas.openxmlformats.org/officeDocument/2006/relationships/footer" Target="footer3.xml"/><Relationship Id="rId10" Type="http://schemas.openxmlformats.org/officeDocument/2006/relationships/hyperlink" Target="http://www.tribunale.goriz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evenditepubbliche.giustizia.it/" TargetMode="External"/><Relationship Id="rId14" Type="http://schemas.openxmlformats.org/officeDocument/2006/relationships/hyperlink" Target="http://www.astegiudiziarie.it/"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3905</Words>
  <Characters>22259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monicabassanese</dc:creator>
  <cp:keywords/>
  <dc:description/>
  <cp:lastModifiedBy>Martina Ponzin</cp:lastModifiedBy>
  <cp:revision>70</cp:revision>
  <dcterms:created xsi:type="dcterms:W3CDTF">2023-07-16T13:14:00Z</dcterms:created>
  <dcterms:modified xsi:type="dcterms:W3CDTF">2023-10-04T10:31:00Z</dcterms:modified>
</cp:coreProperties>
</file>